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56283730"/>
        <w:docPartObj>
          <w:docPartGallery w:val="Cover Pages"/>
          <w:docPartUnique/>
        </w:docPartObj>
      </w:sdtPr>
      <w:sdtEndPr>
        <w:rPr>
          <w:rFonts w:ascii="Corbel" w:hAnsi="Corbel" w:cs="Corbel"/>
          <w:caps/>
        </w:rPr>
      </w:sdtEndPr>
      <w:sdtContent>
        <w:p w14:paraId="3DC0C026" w14:textId="6C0682CA" w:rsidR="00175456" w:rsidRDefault="00175456">
          <w:r>
            <w:rPr>
              <w:noProof/>
            </w:rPr>
            <mc:AlternateContent>
              <mc:Choice Requires="wpg">
                <w:drawing>
                  <wp:anchor distT="0" distB="0" distL="114300" distR="114300" simplePos="0" relativeHeight="251662336" behindDoc="0" locked="0" layoutInCell="1" allowOverlap="1" wp14:anchorId="269858E8" wp14:editId="13E7152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A0B1B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" path="m,l7312660,r,1129665l3619500,733425,,1091565,,xe" fillcolor="#30acec [3204]" stroked="f" strokeweight="1.2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" stroked="f" strokeweight="1.25pt">
                      <v:fill r:id="rId10" o:title="" recolor="t" rotate="t" type="frame"/>
                      <v:stroke endcap="round"/>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B0AF912" wp14:editId="6F0211B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E832577" w14:textId="112E9A41" w:rsidR="00175456" w:rsidRDefault="00175456">
                                    <w:pPr>
                                      <w:pStyle w:val="NoSpacing"/>
                                      <w:jc w:val="right"/>
                                      <w:rPr>
                                        <w:color w:val="595959" w:themeColor="text1" w:themeTint="A6"/>
                                        <w:sz w:val="28"/>
                                        <w:szCs w:val="28"/>
                                      </w:rPr>
                                    </w:pPr>
                                    <w:r>
                                      <w:rPr>
                                        <w:color w:val="595959" w:themeColor="text1" w:themeTint="A6"/>
                                        <w:sz w:val="28"/>
                                        <w:szCs w:val="28"/>
                                      </w:rPr>
                                      <w:t>IMPACT Paradigm Associates</w:t>
                                    </w:r>
                                  </w:p>
                                </w:sdtContent>
                              </w:sdt>
                              <w:p w14:paraId="48411A99" w14:textId="40AD2870" w:rsidR="00175456" w:rsidRDefault="00AD382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75456">
                                      <w:rPr>
                                        <w:color w:val="595959" w:themeColor="text1" w:themeTint="A6"/>
                                        <w:sz w:val="18"/>
                                        <w:szCs w:val="18"/>
                                      </w:rPr>
                                      <w:t xml:space="preserve">www.ipa-llc.org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B0AF91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E832577" w14:textId="112E9A41" w:rsidR="00175456" w:rsidRDefault="00175456">
                              <w:pPr>
                                <w:pStyle w:val="NoSpacing"/>
                                <w:jc w:val="right"/>
                                <w:rPr>
                                  <w:color w:val="595959" w:themeColor="text1" w:themeTint="A6"/>
                                  <w:sz w:val="28"/>
                                  <w:szCs w:val="28"/>
                                </w:rPr>
                              </w:pPr>
                              <w:r>
                                <w:rPr>
                                  <w:color w:val="595959" w:themeColor="text1" w:themeTint="A6"/>
                                  <w:sz w:val="28"/>
                                  <w:szCs w:val="28"/>
                                </w:rPr>
                                <w:t>IMPACT Paradigm Associates</w:t>
                              </w:r>
                            </w:p>
                          </w:sdtContent>
                        </w:sdt>
                        <w:p w14:paraId="48411A99" w14:textId="40AD2870" w:rsidR="00175456" w:rsidRDefault="00AD382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75456">
                                <w:rPr>
                                  <w:color w:val="595959" w:themeColor="text1" w:themeTint="A6"/>
                                  <w:sz w:val="18"/>
                                  <w:szCs w:val="18"/>
                                </w:rPr>
                                <w:t xml:space="preserve">www.ipa-llc.org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E83A075" wp14:editId="022B1C0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9A972" w14:textId="006024B3" w:rsidR="00175456" w:rsidRDefault="00AD382F">
                                <w:pPr>
                                  <w:jc w:val="right"/>
                                  <w:rPr>
                                    <w:color w:val="30ACEC" w:themeColor="accent1"/>
                                    <w:sz w:val="64"/>
                                    <w:szCs w:val="64"/>
                                  </w:rPr>
                                </w:pPr>
                                <w:sdt>
                                  <w:sdtPr>
                                    <w:rPr>
                                      <w:caps/>
                                      <w:color w:val="30ACEC"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5456">
                                      <w:rPr>
                                        <w:caps/>
                                        <w:color w:val="30ACEC" w:themeColor="accent1"/>
                                        <w:sz w:val="64"/>
                                        <w:szCs w:val="64"/>
                                      </w:rPr>
                                      <w:t>Course Catalog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AF6487C" w14:textId="327CEDB9" w:rsidR="00175456" w:rsidRDefault="004C5A94">
                                    <w:pPr>
                                      <w:jc w:val="right"/>
                                      <w:rPr>
                                        <w:smallCaps/>
                                        <w:color w:val="404040" w:themeColor="text1" w:themeTint="BF"/>
                                        <w:sz w:val="36"/>
                                        <w:szCs w:val="36"/>
                                      </w:rPr>
                                    </w:pPr>
                                    <w:r>
                                      <w:rPr>
                                        <w:color w:val="404040" w:themeColor="text1" w:themeTint="BF"/>
                                        <w:sz w:val="36"/>
                                        <w:szCs w:val="36"/>
                                      </w:rPr>
                                      <w:t>2021-2022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E83A075"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E49A972" w14:textId="006024B3" w:rsidR="00175456" w:rsidRDefault="00AD382F">
                          <w:pPr>
                            <w:jc w:val="right"/>
                            <w:rPr>
                              <w:color w:val="30ACEC" w:themeColor="accent1"/>
                              <w:sz w:val="64"/>
                              <w:szCs w:val="64"/>
                            </w:rPr>
                          </w:pPr>
                          <w:sdt>
                            <w:sdtPr>
                              <w:rPr>
                                <w:caps/>
                                <w:color w:val="30ACEC"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5456">
                                <w:rPr>
                                  <w:caps/>
                                  <w:color w:val="30ACEC" w:themeColor="accent1"/>
                                  <w:sz w:val="64"/>
                                  <w:szCs w:val="64"/>
                                </w:rPr>
                                <w:t>Course Catalog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AF6487C" w14:textId="327CEDB9" w:rsidR="00175456" w:rsidRDefault="004C5A94">
                              <w:pPr>
                                <w:jc w:val="right"/>
                                <w:rPr>
                                  <w:smallCaps/>
                                  <w:color w:val="404040" w:themeColor="text1" w:themeTint="BF"/>
                                  <w:sz w:val="36"/>
                                  <w:szCs w:val="36"/>
                                </w:rPr>
                              </w:pPr>
                              <w:r>
                                <w:rPr>
                                  <w:color w:val="404040" w:themeColor="text1" w:themeTint="BF"/>
                                  <w:sz w:val="36"/>
                                  <w:szCs w:val="36"/>
                                </w:rPr>
                                <w:t>2021-2022</w:t>
                              </w:r>
                            </w:p>
                          </w:sdtContent>
                        </w:sdt>
                      </w:txbxContent>
                    </v:textbox>
                    <w10:wrap type="square" anchorx="page" anchory="page"/>
                  </v:shape>
                </w:pict>
              </mc:Fallback>
            </mc:AlternateContent>
          </w:r>
        </w:p>
        <w:p w14:paraId="7C40B24E" w14:textId="50D471A6" w:rsidR="00175456" w:rsidRDefault="00BD1994">
          <w:pPr>
            <w:rPr>
              <w:rFonts w:ascii="Corbel" w:hAnsi="Corbel" w:cs="Corbel"/>
              <w:sz w:val="22"/>
              <w:szCs w:val="22"/>
            </w:rPr>
          </w:pPr>
          <w:r>
            <w:rPr>
              <w:noProof/>
            </w:rPr>
            <w:drawing>
              <wp:anchor distT="0" distB="0" distL="114300" distR="114300" simplePos="0" relativeHeight="251670528" behindDoc="0" locked="0" layoutInCell="1" allowOverlap="1" wp14:anchorId="2515D676" wp14:editId="0867A17F">
                <wp:simplePos x="0" y="0"/>
                <wp:positionH relativeFrom="margin">
                  <wp:posOffset>1862455</wp:posOffset>
                </wp:positionH>
                <wp:positionV relativeFrom="paragraph">
                  <wp:posOffset>614045</wp:posOffset>
                </wp:positionV>
                <wp:extent cx="2480310" cy="244602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80310" cy="2446020"/>
                        </a:xfrm>
                        <a:prstGeom prst="rect">
                          <a:avLst/>
                        </a:prstGeom>
                      </pic:spPr>
                    </pic:pic>
                  </a:graphicData>
                </a:graphic>
                <wp14:sizeRelH relativeFrom="page">
                  <wp14:pctWidth>0</wp14:pctWidth>
                </wp14:sizeRelH>
                <wp14:sizeRelV relativeFrom="page">
                  <wp14:pctHeight>0</wp14:pctHeight>
                </wp14:sizeRelV>
              </wp:anchor>
            </w:drawing>
          </w:r>
          <w:r w:rsidR="00175456">
            <w:rPr>
              <w:rFonts w:ascii="Corbel" w:hAnsi="Corbel" w:cs="Corbel"/>
              <w:caps/>
            </w:rPr>
            <w:br w:type="page"/>
          </w:r>
        </w:p>
      </w:sdtContent>
    </w:sdt>
    <w:sdt>
      <w:sdtPr>
        <w:rPr>
          <w:caps w:val="0"/>
          <w:color w:val="auto"/>
          <w:spacing w:val="0"/>
          <w:sz w:val="20"/>
          <w:szCs w:val="20"/>
        </w:rPr>
        <w:id w:val="-249044246"/>
        <w:docPartObj>
          <w:docPartGallery w:val="Table of Contents"/>
          <w:docPartUnique/>
        </w:docPartObj>
      </w:sdtPr>
      <w:sdtEndPr>
        <w:rPr>
          <w:b/>
          <w:bCs/>
          <w:noProof/>
        </w:rPr>
      </w:sdtEndPr>
      <w:sdtContent>
        <w:p w14:paraId="2E74B15D" w14:textId="7761C147" w:rsidR="00175456" w:rsidRDefault="00175456">
          <w:pPr>
            <w:pStyle w:val="TOCHeading"/>
          </w:pPr>
          <w:r>
            <w:t>Contents</w:t>
          </w:r>
        </w:p>
        <w:p w14:paraId="2E6DA71F" w14:textId="5CBC905C" w:rsidR="007A5308" w:rsidRDefault="00AD382F">
          <w:pPr>
            <w:pStyle w:val="TOC1"/>
            <w:tabs>
              <w:tab w:val="right" w:leader="dot" w:pos="9350"/>
            </w:tabs>
            <w:rPr>
              <w:noProof/>
              <w:sz w:val="22"/>
              <w:szCs w:val="22"/>
            </w:rPr>
          </w:pPr>
          <w:r>
            <w:fldChar w:fldCharType="begin"/>
          </w:r>
          <w:r>
            <w:instrText xml:space="preserve"> TOC \o "1-3" \h \z \u </w:instrText>
          </w:r>
          <w:r>
            <w:fldChar w:fldCharType="separate"/>
          </w:r>
          <w:hyperlink w:anchor="_Toc79495196" w:history="1">
            <w:r w:rsidR="007A5308" w:rsidRPr="005860CC">
              <w:rPr>
                <w:rStyle w:val="Hyperlink"/>
                <w:noProof/>
              </w:rPr>
              <w:t>Overview</w:t>
            </w:r>
            <w:r w:rsidR="007A5308">
              <w:rPr>
                <w:noProof/>
                <w:webHidden/>
              </w:rPr>
              <w:tab/>
            </w:r>
            <w:r w:rsidR="007A5308">
              <w:rPr>
                <w:noProof/>
                <w:webHidden/>
              </w:rPr>
              <w:fldChar w:fldCharType="begin"/>
            </w:r>
            <w:r w:rsidR="007A5308">
              <w:rPr>
                <w:noProof/>
                <w:webHidden/>
              </w:rPr>
              <w:instrText xml:space="preserve"> PAGEREF _Toc79495196 \h </w:instrText>
            </w:r>
            <w:r w:rsidR="007A5308">
              <w:rPr>
                <w:noProof/>
                <w:webHidden/>
              </w:rPr>
            </w:r>
            <w:r w:rsidR="007A5308">
              <w:rPr>
                <w:noProof/>
                <w:webHidden/>
              </w:rPr>
              <w:fldChar w:fldCharType="separate"/>
            </w:r>
            <w:r>
              <w:rPr>
                <w:noProof/>
                <w:webHidden/>
              </w:rPr>
              <w:t>2</w:t>
            </w:r>
            <w:r w:rsidR="007A5308">
              <w:rPr>
                <w:noProof/>
                <w:webHidden/>
              </w:rPr>
              <w:fldChar w:fldCharType="end"/>
            </w:r>
          </w:hyperlink>
        </w:p>
        <w:p w14:paraId="3FB11353" w14:textId="64509776" w:rsidR="007A5308" w:rsidRDefault="007A5308">
          <w:pPr>
            <w:pStyle w:val="TOC1"/>
            <w:tabs>
              <w:tab w:val="right" w:leader="dot" w:pos="9350"/>
            </w:tabs>
            <w:rPr>
              <w:noProof/>
              <w:sz w:val="22"/>
              <w:szCs w:val="22"/>
            </w:rPr>
          </w:pPr>
          <w:hyperlink w:anchor="_Toc79495197" w:history="1">
            <w:r w:rsidRPr="005860CC">
              <w:rPr>
                <w:rStyle w:val="Hyperlink"/>
                <w:rFonts w:eastAsia="Times New Roman"/>
                <w:noProof/>
              </w:rPr>
              <w:t>Organizational Performance, Improvement and Excellence</w:t>
            </w:r>
            <w:r>
              <w:rPr>
                <w:noProof/>
                <w:webHidden/>
              </w:rPr>
              <w:tab/>
            </w:r>
            <w:r>
              <w:rPr>
                <w:noProof/>
                <w:webHidden/>
              </w:rPr>
              <w:fldChar w:fldCharType="begin"/>
            </w:r>
            <w:r>
              <w:rPr>
                <w:noProof/>
                <w:webHidden/>
              </w:rPr>
              <w:instrText xml:space="preserve"> PAGEREF _Toc79495197 \h </w:instrText>
            </w:r>
            <w:r>
              <w:rPr>
                <w:noProof/>
                <w:webHidden/>
              </w:rPr>
            </w:r>
            <w:r>
              <w:rPr>
                <w:noProof/>
                <w:webHidden/>
              </w:rPr>
              <w:fldChar w:fldCharType="separate"/>
            </w:r>
            <w:r w:rsidR="00AD382F">
              <w:rPr>
                <w:noProof/>
                <w:webHidden/>
              </w:rPr>
              <w:t>3</w:t>
            </w:r>
            <w:r>
              <w:rPr>
                <w:noProof/>
                <w:webHidden/>
              </w:rPr>
              <w:fldChar w:fldCharType="end"/>
            </w:r>
          </w:hyperlink>
        </w:p>
        <w:p w14:paraId="073F2070" w14:textId="697BA510" w:rsidR="007A5308" w:rsidRDefault="007A5308">
          <w:pPr>
            <w:pStyle w:val="TOC1"/>
            <w:tabs>
              <w:tab w:val="right" w:leader="dot" w:pos="9350"/>
            </w:tabs>
            <w:rPr>
              <w:noProof/>
              <w:sz w:val="22"/>
              <w:szCs w:val="22"/>
            </w:rPr>
          </w:pPr>
          <w:hyperlink w:anchor="_Toc79495198" w:history="1">
            <w:r w:rsidRPr="005860CC">
              <w:rPr>
                <w:rStyle w:val="Hyperlink"/>
                <w:rFonts w:eastAsia="Times New Roman"/>
                <w:noProof/>
              </w:rPr>
              <w:t>Leadership Development and Improvement</w:t>
            </w:r>
            <w:r>
              <w:rPr>
                <w:noProof/>
                <w:webHidden/>
              </w:rPr>
              <w:tab/>
            </w:r>
            <w:r>
              <w:rPr>
                <w:noProof/>
                <w:webHidden/>
              </w:rPr>
              <w:fldChar w:fldCharType="begin"/>
            </w:r>
            <w:r>
              <w:rPr>
                <w:noProof/>
                <w:webHidden/>
              </w:rPr>
              <w:instrText xml:space="preserve"> PAGEREF _Toc79495198 \h </w:instrText>
            </w:r>
            <w:r>
              <w:rPr>
                <w:noProof/>
                <w:webHidden/>
              </w:rPr>
            </w:r>
            <w:r>
              <w:rPr>
                <w:noProof/>
                <w:webHidden/>
              </w:rPr>
              <w:fldChar w:fldCharType="separate"/>
            </w:r>
            <w:r w:rsidR="00AD382F">
              <w:rPr>
                <w:noProof/>
                <w:webHidden/>
              </w:rPr>
              <w:t>6</w:t>
            </w:r>
            <w:r>
              <w:rPr>
                <w:noProof/>
                <w:webHidden/>
              </w:rPr>
              <w:fldChar w:fldCharType="end"/>
            </w:r>
          </w:hyperlink>
        </w:p>
        <w:p w14:paraId="1BCC0E87" w14:textId="6A0ED268" w:rsidR="007A5308" w:rsidRDefault="007A5308">
          <w:pPr>
            <w:pStyle w:val="TOC1"/>
            <w:tabs>
              <w:tab w:val="right" w:leader="dot" w:pos="9350"/>
            </w:tabs>
            <w:rPr>
              <w:noProof/>
              <w:sz w:val="22"/>
              <w:szCs w:val="22"/>
            </w:rPr>
          </w:pPr>
          <w:hyperlink w:anchor="_Toc79495199" w:history="1">
            <w:r w:rsidRPr="005860CC">
              <w:rPr>
                <w:rStyle w:val="Hyperlink"/>
                <w:rFonts w:eastAsia="Times New Roman"/>
                <w:noProof/>
              </w:rPr>
              <w:t>Strategy, Planning and Communication</w:t>
            </w:r>
            <w:r>
              <w:rPr>
                <w:noProof/>
                <w:webHidden/>
              </w:rPr>
              <w:tab/>
            </w:r>
            <w:r>
              <w:rPr>
                <w:noProof/>
                <w:webHidden/>
              </w:rPr>
              <w:fldChar w:fldCharType="begin"/>
            </w:r>
            <w:r>
              <w:rPr>
                <w:noProof/>
                <w:webHidden/>
              </w:rPr>
              <w:instrText xml:space="preserve"> PAGEREF _Toc79495199 \h </w:instrText>
            </w:r>
            <w:r>
              <w:rPr>
                <w:noProof/>
                <w:webHidden/>
              </w:rPr>
            </w:r>
            <w:r>
              <w:rPr>
                <w:noProof/>
                <w:webHidden/>
              </w:rPr>
              <w:fldChar w:fldCharType="separate"/>
            </w:r>
            <w:r w:rsidR="00AD382F">
              <w:rPr>
                <w:noProof/>
                <w:webHidden/>
              </w:rPr>
              <w:t>10</w:t>
            </w:r>
            <w:r>
              <w:rPr>
                <w:noProof/>
                <w:webHidden/>
              </w:rPr>
              <w:fldChar w:fldCharType="end"/>
            </w:r>
          </w:hyperlink>
        </w:p>
        <w:p w14:paraId="7E562077" w14:textId="176DF793" w:rsidR="007A5308" w:rsidRDefault="007A5308">
          <w:pPr>
            <w:pStyle w:val="TOC1"/>
            <w:tabs>
              <w:tab w:val="right" w:leader="dot" w:pos="9350"/>
            </w:tabs>
            <w:rPr>
              <w:noProof/>
              <w:sz w:val="22"/>
              <w:szCs w:val="22"/>
            </w:rPr>
          </w:pPr>
          <w:hyperlink w:anchor="_Toc79495200" w:history="1">
            <w:r w:rsidRPr="005860CC">
              <w:rPr>
                <w:rStyle w:val="Hyperlink"/>
                <w:rFonts w:eastAsia="Times New Roman"/>
                <w:noProof/>
              </w:rPr>
              <w:t>Data Analysis/Analytics</w:t>
            </w:r>
            <w:r>
              <w:rPr>
                <w:noProof/>
                <w:webHidden/>
              </w:rPr>
              <w:tab/>
            </w:r>
            <w:r>
              <w:rPr>
                <w:noProof/>
                <w:webHidden/>
              </w:rPr>
              <w:fldChar w:fldCharType="begin"/>
            </w:r>
            <w:r>
              <w:rPr>
                <w:noProof/>
                <w:webHidden/>
              </w:rPr>
              <w:instrText xml:space="preserve"> PAGEREF _Toc79495200 \h </w:instrText>
            </w:r>
            <w:r>
              <w:rPr>
                <w:noProof/>
                <w:webHidden/>
              </w:rPr>
            </w:r>
            <w:r>
              <w:rPr>
                <w:noProof/>
                <w:webHidden/>
              </w:rPr>
              <w:fldChar w:fldCharType="separate"/>
            </w:r>
            <w:r w:rsidR="00AD382F">
              <w:rPr>
                <w:noProof/>
                <w:webHidden/>
              </w:rPr>
              <w:t>12</w:t>
            </w:r>
            <w:r>
              <w:rPr>
                <w:noProof/>
                <w:webHidden/>
              </w:rPr>
              <w:fldChar w:fldCharType="end"/>
            </w:r>
          </w:hyperlink>
        </w:p>
        <w:p w14:paraId="492863C0" w14:textId="7EB20C88" w:rsidR="007A5308" w:rsidRDefault="007A5308">
          <w:pPr>
            <w:pStyle w:val="TOC1"/>
            <w:tabs>
              <w:tab w:val="right" w:leader="dot" w:pos="9350"/>
            </w:tabs>
            <w:rPr>
              <w:noProof/>
              <w:sz w:val="22"/>
              <w:szCs w:val="22"/>
            </w:rPr>
          </w:pPr>
          <w:hyperlink w:anchor="_Toc79495201" w:history="1">
            <w:r w:rsidRPr="005860CC">
              <w:rPr>
                <w:rStyle w:val="Hyperlink"/>
                <w:rFonts w:eastAsia="Times New Roman"/>
                <w:noProof/>
              </w:rPr>
              <w:t>Human Resource Management</w:t>
            </w:r>
            <w:r>
              <w:rPr>
                <w:noProof/>
                <w:webHidden/>
              </w:rPr>
              <w:tab/>
            </w:r>
            <w:r>
              <w:rPr>
                <w:noProof/>
                <w:webHidden/>
              </w:rPr>
              <w:fldChar w:fldCharType="begin"/>
            </w:r>
            <w:r>
              <w:rPr>
                <w:noProof/>
                <w:webHidden/>
              </w:rPr>
              <w:instrText xml:space="preserve"> PAGEREF _Toc79495201 \h </w:instrText>
            </w:r>
            <w:r>
              <w:rPr>
                <w:noProof/>
                <w:webHidden/>
              </w:rPr>
            </w:r>
            <w:r>
              <w:rPr>
                <w:noProof/>
                <w:webHidden/>
              </w:rPr>
              <w:fldChar w:fldCharType="separate"/>
            </w:r>
            <w:r w:rsidR="00AD382F">
              <w:rPr>
                <w:noProof/>
                <w:webHidden/>
              </w:rPr>
              <w:t>13</w:t>
            </w:r>
            <w:r>
              <w:rPr>
                <w:noProof/>
                <w:webHidden/>
              </w:rPr>
              <w:fldChar w:fldCharType="end"/>
            </w:r>
          </w:hyperlink>
        </w:p>
        <w:p w14:paraId="2D879398" w14:textId="4C548FC7" w:rsidR="007A5308" w:rsidRDefault="007A5308">
          <w:pPr>
            <w:pStyle w:val="TOC1"/>
            <w:tabs>
              <w:tab w:val="right" w:leader="dot" w:pos="9350"/>
            </w:tabs>
            <w:rPr>
              <w:noProof/>
              <w:sz w:val="22"/>
              <w:szCs w:val="22"/>
            </w:rPr>
          </w:pPr>
          <w:hyperlink w:anchor="_Toc79495202" w:history="1">
            <w:r w:rsidRPr="005860CC">
              <w:rPr>
                <w:rStyle w:val="Hyperlink"/>
                <w:rFonts w:eastAsia="Times New Roman"/>
                <w:noProof/>
              </w:rPr>
              <w:t>Upcoming Courses</w:t>
            </w:r>
            <w:r>
              <w:rPr>
                <w:noProof/>
                <w:webHidden/>
              </w:rPr>
              <w:tab/>
            </w:r>
            <w:r>
              <w:rPr>
                <w:noProof/>
                <w:webHidden/>
              </w:rPr>
              <w:fldChar w:fldCharType="begin"/>
            </w:r>
            <w:r>
              <w:rPr>
                <w:noProof/>
                <w:webHidden/>
              </w:rPr>
              <w:instrText xml:space="preserve"> PAGEREF _Toc79495202 \h </w:instrText>
            </w:r>
            <w:r>
              <w:rPr>
                <w:noProof/>
                <w:webHidden/>
              </w:rPr>
            </w:r>
            <w:r>
              <w:rPr>
                <w:noProof/>
                <w:webHidden/>
              </w:rPr>
              <w:fldChar w:fldCharType="separate"/>
            </w:r>
            <w:r w:rsidR="00AD382F">
              <w:rPr>
                <w:noProof/>
                <w:webHidden/>
              </w:rPr>
              <w:t>14</w:t>
            </w:r>
            <w:r>
              <w:rPr>
                <w:noProof/>
                <w:webHidden/>
              </w:rPr>
              <w:fldChar w:fldCharType="end"/>
            </w:r>
          </w:hyperlink>
        </w:p>
        <w:p w14:paraId="4535F5B3" w14:textId="5EF46BC9" w:rsidR="007A5308" w:rsidRDefault="007A5308">
          <w:pPr>
            <w:pStyle w:val="TOC1"/>
            <w:tabs>
              <w:tab w:val="right" w:leader="dot" w:pos="9350"/>
            </w:tabs>
            <w:rPr>
              <w:noProof/>
              <w:sz w:val="22"/>
              <w:szCs w:val="22"/>
            </w:rPr>
          </w:pPr>
          <w:hyperlink w:anchor="_Toc79495203" w:history="1">
            <w:r w:rsidRPr="005860CC">
              <w:rPr>
                <w:rStyle w:val="Hyperlink"/>
                <w:noProof/>
              </w:rPr>
              <w:t>Your Specific Needs</w:t>
            </w:r>
            <w:r>
              <w:rPr>
                <w:noProof/>
                <w:webHidden/>
              </w:rPr>
              <w:tab/>
            </w:r>
            <w:r>
              <w:rPr>
                <w:noProof/>
                <w:webHidden/>
              </w:rPr>
              <w:fldChar w:fldCharType="begin"/>
            </w:r>
            <w:r>
              <w:rPr>
                <w:noProof/>
                <w:webHidden/>
              </w:rPr>
              <w:instrText xml:space="preserve"> PAGEREF _Toc79495203 \h </w:instrText>
            </w:r>
            <w:r>
              <w:rPr>
                <w:noProof/>
                <w:webHidden/>
              </w:rPr>
            </w:r>
            <w:r>
              <w:rPr>
                <w:noProof/>
                <w:webHidden/>
              </w:rPr>
              <w:fldChar w:fldCharType="separate"/>
            </w:r>
            <w:r w:rsidR="00AD382F">
              <w:rPr>
                <w:noProof/>
                <w:webHidden/>
              </w:rPr>
              <w:t>15</w:t>
            </w:r>
            <w:r>
              <w:rPr>
                <w:noProof/>
                <w:webHidden/>
              </w:rPr>
              <w:fldChar w:fldCharType="end"/>
            </w:r>
          </w:hyperlink>
        </w:p>
        <w:p w14:paraId="4DC50DA2" w14:textId="421FB8CE" w:rsidR="00175456" w:rsidRDefault="00AD382F">
          <w:r>
            <w:rPr>
              <w:b/>
              <w:bCs/>
              <w:noProof/>
            </w:rPr>
            <w:fldChar w:fldCharType="end"/>
          </w:r>
        </w:p>
      </w:sdtContent>
    </w:sdt>
    <w:p w14:paraId="6F75C5C8" w14:textId="77777777" w:rsidR="00175456" w:rsidRDefault="00175456">
      <w:pPr>
        <w:rPr>
          <w:rFonts w:ascii="Corbel" w:hAnsi="Corbel" w:cs="Corbel"/>
          <w:sz w:val="22"/>
          <w:szCs w:val="22"/>
        </w:rPr>
      </w:pPr>
      <w:r>
        <w:rPr>
          <w:rFonts w:ascii="Corbel" w:hAnsi="Corbel" w:cs="Corbel"/>
          <w:sz w:val="22"/>
          <w:szCs w:val="22"/>
        </w:rPr>
        <w:br w:type="page"/>
      </w:r>
    </w:p>
    <w:p w14:paraId="6FB2E93D" w14:textId="2E7239EC" w:rsidR="00D35120" w:rsidRDefault="00D35120" w:rsidP="00D35120">
      <w:pPr>
        <w:pStyle w:val="Heading1"/>
      </w:pPr>
      <w:bookmarkStart w:id="0" w:name="_Toc79495196"/>
      <w:r>
        <w:lastRenderedPageBreak/>
        <w:t>Overview</w:t>
      </w:r>
      <w:bookmarkEnd w:id="0"/>
    </w:p>
    <w:p w14:paraId="0DE6481E" w14:textId="77777777" w:rsidR="00D35120" w:rsidRDefault="00D35120" w:rsidP="00175456">
      <w:pPr>
        <w:autoSpaceDE w:val="0"/>
        <w:autoSpaceDN w:val="0"/>
        <w:adjustRightInd w:val="0"/>
        <w:spacing w:before="0" w:after="0" w:line="240" w:lineRule="auto"/>
        <w:rPr>
          <w:rFonts w:ascii="Corbel" w:hAnsi="Corbel" w:cs="Corbel"/>
          <w:sz w:val="22"/>
          <w:szCs w:val="22"/>
        </w:rPr>
      </w:pPr>
    </w:p>
    <w:p w14:paraId="7FD20A8D" w14:textId="23F1CA30"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IPA provides instructor-led, applied training courses to assist organizations in their planning and</w:t>
      </w:r>
    </w:p>
    <w:p w14:paraId="69FD069E" w14:textId="02259FE8"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performance. All courses are structured into learning modules that can be delivered as separate minicourses or combined from various courses to offer a package that best meets the needs of your</w:t>
      </w:r>
    </w:p>
    <w:p w14:paraId="2AF3DD53" w14:textId="77777777"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organization. Since the courses are structured into modules, instructor-led courses can be designed</w:t>
      </w:r>
    </w:p>
    <w:p w14:paraId="687E91A4" w14:textId="77777777"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and converted to live-streaming courses, on-demand recorded online courses, or a combination for</w:t>
      </w:r>
    </w:p>
    <w:p w14:paraId="344A0A46" w14:textId="314F309E" w:rsidR="00175456" w:rsidRDefault="00175456" w:rsidP="00297B0E">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 xml:space="preserve">blended learning. For example, </w:t>
      </w:r>
      <w:r w:rsidR="00297B0E">
        <w:rPr>
          <w:rFonts w:ascii="Corbel" w:hAnsi="Corbel" w:cs="Corbel"/>
          <w:sz w:val="22"/>
          <w:szCs w:val="22"/>
        </w:rPr>
        <w:t xml:space="preserve">IPA has delivered a 7-part </w:t>
      </w:r>
      <w:r>
        <w:rPr>
          <w:rFonts w:ascii="Corbel" w:hAnsi="Corbel" w:cs="Corbel"/>
          <w:sz w:val="22"/>
          <w:szCs w:val="22"/>
        </w:rPr>
        <w:t xml:space="preserve">data literacy boot camp course </w:t>
      </w:r>
      <w:r w:rsidR="00297B0E">
        <w:rPr>
          <w:rFonts w:ascii="Corbel" w:hAnsi="Corbel" w:cs="Corbel"/>
          <w:sz w:val="22"/>
          <w:szCs w:val="22"/>
        </w:rPr>
        <w:t xml:space="preserve">as a monthly webinar series as well as a course on data-informed decision making as a single day online event.  </w:t>
      </w:r>
      <w:r>
        <w:rPr>
          <w:rFonts w:ascii="Corbel" w:hAnsi="Corbel" w:cs="Corbel"/>
          <w:sz w:val="22"/>
          <w:szCs w:val="22"/>
        </w:rPr>
        <w:t xml:space="preserve"> </w:t>
      </w:r>
    </w:p>
    <w:p w14:paraId="1C7807BE" w14:textId="77777777" w:rsidR="00175456" w:rsidRDefault="00175456" w:rsidP="00175456">
      <w:pPr>
        <w:autoSpaceDE w:val="0"/>
        <w:autoSpaceDN w:val="0"/>
        <w:adjustRightInd w:val="0"/>
        <w:spacing w:before="0" w:after="0" w:line="240" w:lineRule="auto"/>
        <w:rPr>
          <w:rFonts w:ascii="Corbel" w:hAnsi="Corbel" w:cs="Corbel"/>
          <w:sz w:val="22"/>
          <w:szCs w:val="22"/>
        </w:rPr>
      </w:pPr>
    </w:p>
    <w:p w14:paraId="1778E6EA" w14:textId="78743090"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Modules are offered in half-day increments, and full courses are offered in one-day, two-day, three-day</w:t>
      </w:r>
    </w:p>
    <w:p w14:paraId="143F5D6D" w14:textId="77777777"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four-day, and five-day options. Some of the courses can be expanded beyond this, depending on the</w:t>
      </w:r>
    </w:p>
    <w:p w14:paraId="5DEFDDD6" w14:textId="77777777"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depth and need of your organization. IPA builds each course to provide content knowledge of the topic</w:t>
      </w:r>
    </w:p>
    <w:p w14:paraId="561E4045" w14:textId="77777777" w:rsidR="00175456" w:rsidRDefault="00175456"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area as well as application of the material to your organization’s situation. Learning modules are</w:t>
      </w:r>
    </w:p>
    <w:p w14:paraId="619475A0" w14:textId="10837568" w:rsidR="00175456" w:rsidRDefault="004C28F4" w:rsidP="00175456">
      <w:pPr>
        <w:autoSpaceDE w:val="0"/>
        <w:autoSpaceDN w:val="0"/>
        <w:adjustRightInd w:val="0"/>
        <w:spacing w:before="0" w:after="0" w:line="240" w:lineRule="auto"/>
        <w:rPr>
          <w:rFonts w:ascii="Corbel" w:hAnsi="Corbel" w:cs="Corbel"/>
          <w:sz w:val="22"/>
          <w:szCs w:val="22"/>
        </w:rPr>
      </w:pPr>
      <w:r>
        <w:rPr>
          <w:rFonts w:ascii="Corbel" w:hAnsi="Corbel" w:cs="Corbel"/>
          <w:sz w:val="22"/>
          <w:szCs w:val="22"/>
        </w:rPr>
        <w:t>commonly</w:t>
      </w:r>
      <w:r w:rsidR="00175456">
        <w:rPr>
          <w:rFonts w:ascii="Corbel" w:hAnsi="Corbel" w:cs="Corbel"/>
          <w:sz w:val="22"/>
          <w:szCs w:val="22"/>
        </w:rPr>
        <w:t xml:space="preserve"> 90 to 120-minute blocks of content with interactive activities. Application modules are</w:t>
      </w:r>
    </w:p>
    <w:p w14:paraId="17715DCF" w14:textId="7B0081F3" w:rsidR="00175456" w:rsidRDefault="004C28F4" w:rsidP="00175456">
      <w:pPr>
        <w:autoSpaceDE w:val="0"/>
        <w:autoSpaceDN w:val="0"/>
        <w:adjustRightInd w:val="0"/>
        <w:spacing w:before="0" w:after="0" w:line="240" w:lineRule="auto"/>
        <w:rPr>
          <w:rFonts w:ascii="Corbel" w:hAnsi="Corbel" w:cs="Corbel"/>
          <w:sz w:val="22"/>
          <w:szCs w:val="22"/>
        </w:rPr>
      </w:pPr>
      <w:proofErr w:type="gramStart"/>
      <w:r>
        <w:rPr>
          <w:rFonts w:ascii="Corbel" w:hAnsi="Corbel" w:cs="Corbel"/>
          <w:sz w:val="22"/>
          <w:szCs w:val="22"/>
        </w:rPr>
        <w:t>typically</w:t>
      </w:r>
      <w:proofErr w:type="gramEnd"/>
      <w:r>
        <w:rPr>
          <w:rFonts w:ascii="Corbel" w:hAnsi="Corbel" w:cs="Corbel"/>
          <w:sz w:val="22"/>
          <w:szCs w:val="22"/>
        </w:rPr>
        <w:t xml:space="preserve"> </w:t>
      </w:r>
      <w:r w:rsidR="00175456">
        <w:rPr>
          <w:rFonts w:ascii="Corbel" w:hAnsi="Corbel" w:cs="Corbel"/>
          <w:sz w:val="22"/>
          <w:szCs w:val="22"/>
        </w:rPr>
        <w:t>120 to 240 hours and include review of material and application to real-world conditions.</w:t>
      </w:r>
    </w:p>
    <w:p w14:paraId="0FFB2279" w14:textId="77777777" w:rsidR="00175456" w:rsidRDefault="00175456" w:rsidP="00175456">
      <w:pPr>
        <w:autoSpaceDE w:val="0"/>
        <w:autoSpaceDN w:val="0"/>
        <w:adjustRightInd w:val="0"/>
        <w:spacing w:before="0" w:after="0" w:line="240" w:lineRule="auto"/>
        <w:rPr>
          <w:rFonts w:ascii="Corbel" w:hAnsi="Corbel" w:cs="Corbel"/>
          <w:sz w:val="22"/>
          <w:szCs w:val="22"/>
        </w:rPr>
      </w:pPr>
    </w:p>
    <w:p w14:paraId="39DE16A9" w14:textId="77777777" w:rsidR="00FA5C3E" w:rsidRPr="00FA5C3E" w:rsidRDefault="00FA5C3E" w:rsidP="00FA5C3E">
      <w:pPr>
        <w:rPr>
          <w:sz w:val="22"/>
          <w:szCs w:val="22"/>
        </w:rPr>
      </w:pPr>
      <w:r w:rsidRPr="00FA5C3E">
        <w:rPr>
          <w:sz w:val="22"/>
          <w:szCs w:val="22"/>
        </w:rPr>
        <w:t>Courses are each made up of modules that can be moved and combined.  Additionally, several modules or courses may be integrated for offsite retreats or weeklong events.  Through our network, additional courses are available.</w:t>
      </w:r>
    </w:p>
    <w:p w14:paraId="05EDE61E" w14:textId="26B85DDF" w:rsidR="00175456" w:rsidRPr="00175456" w:rsidRDefault="00175456" w:rsidP="00175456">
      <w:pPr>
        <w:autoSpaceDE w:val="0"/>
        <w:autoSpaceDN w:val="0"/>
        <w:adjustRightInd w:val="0"/>
        <w:spacing w:before="0" w:after="0" w:line="240" w:lineRule="auto"/>
        <w:rPr>
          <w:rFonts w:ascii="Corbel" w:hAnsi="Corbel" w:cs="Corbel"/>
          <w:sz w:val="22"/>
          <w:szCs w:val="22"/>
        </w:rPr>
      </w:pPr>
      <w:r w:rsidRPr="00175456">
        <w:rPr>
          <w:rFonts w:ascii="Corbel" w:hAnsi="Corbel" w:cs="Corbel"/>
          <w:sz w:val="22"/>
          <w:szCs w:val="22"/>
        </w:rPr>
        <w:t>IPA’s training offerings are tailored to the positional and functional level of participants so that the</w:t>
      </w:r>
    </w:p>
    <w:p w14:paraId="12A1B058" w14:textId="77777777" w:rsidR="00175456" w:rsidRPr="00175456" w:rsidRDefault="00175456" w:rsidP="00175456">
      <w:pPr>
        <w:autoSpaceDE w:val="0"/>
        <w:autoSpaceDN w:val="0"/>
        <w:adjustRightInd w:val="0"/>
        <w:spacing w:before="0" w:after="0" w:line="240" w:lineRule="auto"/>
        <w:rPr>
          <w:rFonts w:ascii="Corbel" w:hAnsi="Corbel" w:cs="Corbel"/>
          <w:sz w:val="22"/>
          <w:szCs w:val="22"/>
        </w:rPr>
      </w:pPr>
      <w:r w:rsidRPr="00175456">
        <w:rPr>
          <w:rFonts w:ascii="Corbel" w:hAnsi="Corbel" w:cs="Corbel"/>
          <w:sz w:val="22"/>
          <w:szCs w:val="22"/>
        </w:rPr>
        <w:t>training can be offered for First Line Leaders, Mid-Line Leaders, and Executives. IPA’s training</w:t>
      </w:r>
    </w:p>
    <w:p w14:paraId="5FF6D039" w14:textId="5D8648E7" w:rsidR="00175456" w:rsidRPr="00175456" w:rsidRDefault="00175456" w:rsidP="00175456">
      <w:pPr>
        <w:autoSpaceDE w:val="0"/>
        <w:autoSpaceDN w:val="0"/>
        <w:adjustRightInd w:val="0"/>
        <w:spacing w:before="0" w:after="0" w:line="240" w:lineRule="auto"/>
        <w:rPr>
          <w:rFonts w:ascii="Corbel" w:hAnsi="Corbel" w:cs="Corbel"/>
          <w:sz w:val="22"/>
          <w:szCs w:val="22"/>
        </w:rPr>
      </w:pPr>
      <w:r w:rsidRPr="00175456">
        <w:rPr>
          <w:rFonts w:ascii="Corbel" w:hAnsi="Corbel" w:cs="Corbel"/>
          <w:sz w:val="22"/>
          <w:szCs w:val="22"/>
        </w:rPr>
        <w:t>receives training evaluation scores over 90 percent on its training satisfaction, effectiveness,</w:t>
      </w:r>
    </w:p>
    <w:p w14:paraId="1A9EF3A6" w14:textId="41609236" w:rsidR="00175456" w:rsidRDefault="00175456" w:rsidP="00175456">
      <w:pPr>
        <w:autoSpaceDE w:val="0"/>
        <w:autoSpaceDN w:val="0"/>
        <w:adjustRightInd w:val="0"/>
        <w:spacing w:before="0" w:after="0" w:line="240" w:lineRule="auto"/>
        <w:rPr>
          <w:rFonts w:ascii="Corbel" w:hAnsi="Corbel" w:cs="Corbel"/>
          <w:sz w:val="22"/>
          <w:szCs w:val="22"/>
        </w:rPr>
      </w:pPr>
      <w:r w:rsidRPr="00175456">
        <w:rPr>
          <w:rFonts w:ascii="Corbel" w:hAnsi="Corbel" w:cs="Corbel"/>
          <w:sz w:val="22"/>
          <w:szCs w:val="22"/>
        </w:rPr>
        <w:t>and usability.</w:t>
      </w:r>
    </w:p>
    <w:p w14:paraId="30D609C5" w14:textId="1E41A77B" w:rsidR="00747D95" w:rsidRDefault="00747D95" w:rsidP="00175456">
      <w:pPr>
        <w:autoSpaceDE w:val="0"/>
        <w:autoSpaceDN w:val="0"/>
        <w:adjustRightInd w:val="0"/>
        <w:spacing w:before="0" w:after="0" w:line="240" w:lineRule="auto"/>
        <w:rPr>
          <w:rFonts w:ascii="Corbel" w:hAnsi="Corbel" w:cs="Corbel"/>
          <w:sz w:val="22"/>
          <w:szCs w:val="22"/>
        </w:rPr>
      </w:pPr>
    </w:p>
    <w:p w14:paraId="7B6FB00C" w14:textId="0232D3B2" w:rsidR="00175456" w:rsidRPr="00175456" w:rsidRDefault="00175456" w:rsidP="00175456">
      <w:pPr>
        <w:autoSpaceDE w:val="0"/>
        <w:autoSpaceDN w:val="0"/>
        <w:adjustRightInd w:val="0"/>
        <w:spacing w:before="0" w:after="0" w:line="240" w:lineRule="auto"/>
        <w:rPr>
          <w:rFonts w:ascii="Corbel" w:hAnsi="Corbel" w:cs="Corbel"/>
          <w:sz w:val="22"/>
          <w:szCs w:val="22"/>
        </w:rPr>
      </w:pPr>
      <w:r w:rsidRPr="00175456">
        <w:rPr>
          <w:rFonts w:ascii="Corbel" w:hAnsi="Corbel" w:cs="Corbel"/>
          <w:sz w:val="22"/>
          <w:szCs w:val="22"/>
        </w:rPr>
        <w:t xml:space="preserve">Courses generally use the following learning methods: facilitator presentations, individual and small-group exercises, discussions, and self-assessments.  If </w:t>
      </w:r>
      <w:r w:rsidR="00443960">
        <w:rPr>
          <w:rFonts w:ascii="Corbel" w:hAnsi="Corbel" w:cs="Corbel"/>
          <w:sz w:val="22"/>
          <w:szCs w:val="22"/>
        </w:rPr>
        <w:t>an organization</w:t>
      </w:r>
      <w:r w:rsidRPr="00175456">
        <w:rPr>
          <w:rFonts w:ascii="Corbel" w:hAnsi="Corbel" w:cs="Corbel"/>
          <w:sz w:val="22"/>
          <w:szCs w:val="22"/>
        </w:rPr>
        <w:t xml:space="preserve"> would like more details on any of these courses including learning objectives, </w:t>
      </w:r>
      <w:r w:rsidR="00443960">
        <w:rPr>
          <w:rFonts w:ascii="Corbel" w:hAnsi="Corbel" w:cs="Corbel"/>
          <w:sz w:val="22"/>
          <w:szCs w:val="22"/>
        </w:rPr>
        <w:t xml:space="preserve">agenda, </w:t>
      </w:r>
      <w:r w:rsidRPr="00175456">
        <w:rPr>
          <w:rFonts w:ascii="Corbel" w:hAnsi="Corbel" w:cs="Corbel"/>
          <w:sz w:val="22"/>
          <w:szCs w:val="22"/>
        </w:rPr>
        <w:t>and learning methods, IPA is pleased to provide that information upon request.</w:t>
      </w:r>
    </w:p>
    <w:p w14:paraId="472AADFB" w14:textId="77777777" w:rsidR="00175456" w:rsidRDefault="00175456" w:rsidP="00175456">
      <w:pPr>
        <w:autoSpaceDE w:val="0"/>
        <w:autoSpaceDN w:val="0"/>
        <w:adjustRightInd w:val="0"/>
        <w:spacing w:before="0" w:after="0" w:line="240" w:lineRule="auto"/>
        <w:rPr>
          <w:rFonts w:ascii="Corbel" w:hAnsi="Corbel" w:cs="Corbel"/>
          <w:sz w:val="22"/>
          <w:szCs w:val="22"/>
        </w:rPr>
      </w:pPr>
    </w:p>
    <w:p w14:paraId="1A66BE33" w14:textId="729B72C1" w:rsidR="00175456" w:rsidRDefault="00175456" w:rsidP="00175456">
      <w:pPr>
        <w:autoSpaceDE w:val="0"/>
        <w:autoSpaceDN w:val="0"/>
        <w:adjustRightInd w:val="0"/>
        <w:spacing w:before="0" w:after="0" w:line="240" w:lineRule="auto"/>
        <w:rPr>
          <w:rFonts w:ascii="Corbel" w:hAnsi="Corbel" w:cs="Corbel"/>
          <w:sz w:val="22"/>
          <w:szCs w:val="22"/>
        </w:rPr>
      </w:pPr>
    </w:p>
    <w:p w14:paraId="621B8A23" w14:textId="77777777" w:rsidR="00FA5C3E" w:rsidRDefault="00FA5C3E">
      <w:pPr>
        <w:rPr>
          <w:rFonts w:eastAsia="Times New Roman" w:cs="Times New Roman"/>
          <w:color w:val="000000"/>
          <w:u w:val="single"/>
        </w:rPr>
      </w:pPr>
      <w:r>
        <w:rPr>
          <w:rFonts w:eastAsia="Times New Roman" w:cs="Times New Roman"/>
          <w:color w:val="000000"/>
          <w:u w:val="single"/>
        </w:rPr>
        <w:br w:type="page"/>
      </w:r>
    </w:p>
    <w:p w14:paraId="0D0F81A9" w14:textId="037AC8E3" w:rsidR="00175456" w:rsidRPr="00BF7FA7" w:rsidRDefault="00175456" w:rsidP="003C4544">
      <w:pPr>
        <w:pStyle w:val="Heading1"/>
        <w:rPr>
          <w:rFonts w:eastAsia="Times New Roman"/>
        </w:rPr>
      </w:pPr>
      <w:bookmarkStart w:id="1" w:name="_Toc79495197"/>
      <w:r w:rsidRPr="00BF7FA7">
        <w:rPr>
          <w:rFonts w:eastAsia="Times New Roman"/>
        </w:rPr>
        <w:lastRenderedPageBreak/>
        <w:t>Organizational Performance</w:t>
      </w:r>
      <w:r w:rsidR="00355887">
        <w:rPr>
          <w:rFonts w:eastAsia="Times New Roman"/>
        </w:rPr>
        <w:t>, Improvement</w:t>
      </w:r>
      <w:r w:rsidRPr="00BF7FA7">
        <w:rPr>
          <w:rFonts w:eastAsia="Times New Roman"/>
        </w:rPr>
        <w:t xml:space="preserve"> and </w:t>
      </w:r>
      <w:r w:rsidR="00355887">
        <w:rPr>
          <w:rFonts w:eastAsia="Times New Roman"/>
        </w:rPr>
        <w:t>Excellence</w:t>
      </w:r>
      <w:bookmarkEnd w:id="1"/>
    </w:p>
    <w:p w14:paraId="0EFA1674" w14:textId="118F6B47" w:rsidR="003C4544" w:rsidRDefault="00577672" w:rsidP="003C4544">
      <w:pPr>
        <w:pStyle w:val="ListParagraph"/>
        <w:tabs>
          <w:tab w:val="left" w:pos="1080"/>
          <w:tab w:val="left" w:pos="2160"/>
          <w:tab w:val="left" w:pos="2520"/>
        </w:tabs>
        <w:rPr>
          <w:rFonts w:eastAsia="Times New Roman" w:cs="Times New Roman"/>
          <w:color w:val="000000"/>
        </w:rPr>
      </w:pPr>
      <w:r w:rsidRPr="006806E7">
        <w:rPr>
          <w:noProof/>
        </w:rPr>
        <w:drawing>
          <wp:anchor distT="0" distB="0" distL="114300" distR="114300" simplePos="0" relativeHeight="251664384" behindDoc="0" locked="0" layoutInCell="1" allowOverlap="1" wp14:anchorId="257488B2" wp14:editId="0D0E8946">
            <wp:simplePos x="0" y="0"/>
            <wp:positionH relativeFrom="margin">
              <wp:posOffset>2903855</wp:posOffset>
            </wp:positionH>
            <wp:positionV relativeFrom="paragraph">
              <wp:posOffset>200025</wp:posOffset>
            </wp:positionV>
            <wp:extent cx="3035300" cy="16992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5300" cy="1699260"/>
                    </a:xfrm>
                    <a:prstGeom prst="rect">
                      <a:avLst/>
                    </a:prstGeom>
                  </pic:spPr>
                </pic:pic>
              </a:graphicData>
            </a:graphic>
            <wp14:sizeRelH relativeFrom="page">
              <wp14:pctWidth>0</wp14:pctWidth>
            </wp14:sizeRelH>
            <wp14:sizeRelV relativeFrom="page">
              <wp14:pctHeight>0</wp14:pctHeight>
            </wp14:sizeRelV>
          </wp:anchor>
        </w:drawing>
      </w:r>
    </w:p>
    <w:p w14:paraId="3818DCB0" w14:textId="0A1C099C" w:rsidR="00577672" w:rsidRDefault="00C15676" w:rsidP="00E46A39">
      <w:pPr>
        <w:tabs>
          <w:tab w:val="left" w:pos="1080"/>
          <w:tab w:val="left" w:pos="2160"/>
          <w:tab w:val="left" w:pos="2520"/>
        </w:tabs>
        <w:rPr>
          <w:rFonts w:eastAsia="Times New Roman" w:cs="Times New Roman"/>
          <w:color w:val="000000"/>
        </w:rPr>
      </w:pPr>
      <w:r>
        <w:rPr>
          <w:rFonts w:eastAsia="Times New Roman" w:cs="Times New Roman"/>
          <w:color w:val="000000"/>
        </w:rPr>
        <w:t xml:space="preserve">The courses in organizational performance, improvement and excellence focus on understanding how organizations operate, and how to monitor, assess and learn </w:t>
      </w:r>
      <w:r w:rsidR="00A75328">
        <w:rPr>
          <w:rFonts w:eastAsia="Times New Roman" w:cs="Times New Roman"/>
          <w:color w:val="000000"/>
        </w:rPr>
        <w:t>to</w:t>
      </w:r>
      <w:r>
        <w:rPr>
          <w:rFonts w:eastAsia="Times New Roman" w:cs="Times New Roman"/>
          <w:color w:val="000000"/>
        </w:rPr>
        <w:t xml:space="preserve"> higher quality service and products, produce products and services with more efficiency, and to ensure the </w:t>
      </w:r>
      <w:r w:rsidR="00715944">
        <w:rPr>
          <w:rFonts w:eastAsia="Times New Roman" w:cs="Times New Roman"/>
          <w:color w:val="000000"/>
        </w:rPr>
        <w:t xml:space="preserve">goals are being met.  </w:t>
      </w:r>
    </w:p>
    <w:p w14:paraId="7C3BB374" w14:textId="51382743" w:rsidR="00715944" w:rsidRDefault="00715944" w:rsidP="00E46A39">
      <w:pPr>
        <w:tabs>
          <w:tab w:val="left" w:pos="1080"/>
          <w:tab w:val="left" w:pos="2160"/>
          <w:tab w:val="left" w:pos="2520"/>
        </w:tabs>
        <w:rPr>
          <w:rFonts w:eastAsia="Times New Roman" w:cs="Times New Roman"/>
          <w:color w:val="000000"/>
        </w:rPr>
      </w:pPr>
    </w:p>
    <w:p w14:paraId="54D9B493" w14:textId="166FD6B4" w:rsidR="00577672" w:rsidRDefault="00577672" w:rsidP="00E46A39">
      <w:pPr>
        <w:tabs>
          <w:tab w:val="left" w:pos="1080"/>
          <w:tab w:val="left" w:pos="2160"/>
          <w:tab w:val="left" w:pos="2520"/>
        </w:tabs>
        <w:rPr>
          <w:rFonts w:eastAsia="Times New Roman" w:cs="Times New Roman"/>
          <w:color w:val="000000"/>
        </w:rPr>
      </w:pPr>
    </w:p>
    <w:tbl>
      <w:tblPr>
        <w:tblStyle w:val="GridTable4-Accent1"/>
        <w:tblW w:w="9355" w:type="dxa"/>
        <w:tblLook w:val="04E0" w:firstRow="1" w:lastRow="1" w:firstColumn="1" w:lastColumn="0" w:noHBand="0" w:noVBand="1"/>
      </w:tblPr>
      <w:tblGrid>
        <w:gridCol w:w="4315"/>
        <w:gridCol w:w="5040"/>
      </w:tblGrid>
      <w:tr w:rsidR="00577672" w14:paraId="44F4EDC8" w14:textId="77777777" w:rsidTr="00AC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15" w:type="dxa"/>
          </w:tcPr>
          <w:p w14:paraId="02EC9994" w14:textId="77777777" w:rsidR="00577672" w:rsidRDefault="00577672" w:rsidP="00AC3232">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Course Title</w:t>
            </w:r>
          </w:p>
        </w:tc>
        <w:tc>
          <w:tcPr>
            <w:tcW w:w="5040" w:type="dxa"/>
          </w:tcPr>
          <w:p w14:paraId="49CC7D6F" w14:textId="6F19F7CD" w:rsidR="00577672" w:rsidRPr="00E46A39" w:rsidRDefault="00577672" w:rsidP="00AC3232">
            <w:pPr>
              <w:tabs>
                <w:tab w:val="left" w:pos="1080"/>
                <w:tab w:val="left" w:pos="2160"/>
                <w:tab w:val="left" w:pos="2520"/>
              </w:tab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46A39">
              <w:rPr>
                <w:rFonts w:eastAsia="Times New Roman" w:cs="Times New Roman"/>
                <w:color w:val="000000"/>
              </w:rPr>
              <w:t>Course Description</w:t>
            </w:r>
          </w:p>
        </w:tc>
      </w:tr>
      <w:tr w:rsidR="00577672" w14:paraId="1555892D"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352F610" w14:textId="77777777" w:rsidR="00577672" w:rsidRPr="00E46A39" w:rsidRDefault="00577672" w:rsidP="00AC3232">
            <w:pPr>
              <w:pStyle w:val="ListParagraph"/>
              <w:tabs>
                <w:tab w:val="left" w:pos="1080"/>
                <w:tab w:val="left" w:pos="2160"/>
                <w:tab w:val="left" w:pos="2520"/>
              </w:tabs>
              <w:ind w:left="0"/>
              <w:rPr>
                <w:rFonts w:eastAsia="Times New Roman" w:cs="Times New Roman"/>
                <w:color w:val="000000"/>
                <w:sz w:val="20"/>
                <w:szCs w:val="20"/>
              </w:rPr>
            </w:pPr>
            <w:r>
              <w:rPr>
                <w:rFonts w:eastAsia="Times New Roman" w:cs="Times New Roman"/>
                <w:color w:val="000000"/>
                <w:sz w:val="20"/>
                <w:szCs w:val="20"/>
              </w:rPr>
              <w:t>Overview of Organizational Performance Improvement</w:t>
            </w:r>
          </w:p>
        </w:tc>
        <w:tc>
          <w:tcPr>
            <w:tcW w:w="5040" w:type="dxa"/>
          </w:tcPr>
          <w:p w14:paraId="20B68693" w14:textId="30FC022C" w:rsidR="00577672" w:rsidRPr="00E46A39" w:rsidRDefault="00240655"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40655">
              <w:rPr>
                <w:rFonts w:eastAsia="Times New Roman" w:cs="Times New Roman"/>
                <w:color w:val="000000"/>
              </w:rPr>
              <w:t xml:space="preserve">This course provides an introductory overview of concepts, approaches, </w:t>
            </w:r>
            <w:r w:rsidR="00B96F09" w:rsidRPr="00240655">
              <w:rPr>
                <w:rFonts w:eastAsia="Times New Roman" w:cs="Times New Roman"/>
                <w:color w:val="000000"/>
              </w:rPr>
              <w:t>methodologies,</w:t>
            </w:r>
            <w:r w:rsidRPr="00240655">
              <w:rPr>
                <w:rFonts w:eastAsia="Times New Roman" w:cs="Times New Roman"/>
                <w:color w:val="000000"/>
              </w:rPr>
              <w:t xml:space="preserve"> and tools for</w:t>
            </w:r>
            <w:r>
              <w:rPr>
                <w:rFonts w:eastAsia="Times New Roman" w:cs="Times New Roman"/>
                <w:color w:val="000000"/>
              </w:rPr>
              <w:t xml:space="preserve"> </w:t>
            </w:r>
            <w:r w:rsidRPr="00240655">
              <w:rPr>
                <w:rFonts w:eastAsia="Times New Roman" w:cs="Times New Roman"/>
                <w:color w:val="000000"/>
              </w:rPr>
              <w:t>improving organizational performance. Special emphasis is placed on applying a systems approach</w:t>
            </w:r>
            <w:r>
              <w:rPr>
                <w:rFonts w:eastAsia="Times New Roman" w:cs="Times New Roman"/>
                <w:color w:val="000000"/>
              </w:rPr>
              <w:t xml:space="preserve"> </w:t>
            </w:r>
            <w:r w:rsidRPr="00240655">
              <w:rPr>
                <w:rFonts w:eastAsia="Times New Roman" w:cs="Times New Roman"/>
                <w:color w:val="000000"/>
              </w:rPr>
              <w:t>to organizational performance.</w:t>
            </w:r>
          </w:p>
        </w:tc>
      </w:tr>
      <w:tr w:rsidR="005A5B84" w14:paraId="442713D2"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0D7C50AD" w14:textId="044342A8" w:rsidR="00577672" w:rsidRPr="00E46A39"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D</w:t>
            </w:r>
            <w:r>
              <w:rPr>
                <w:rFonts w:eastAsia="Times New Roman" w:cs="Times New Roman"/>
                <w:color w:val="000000"/>
              </w:rPr>
              <w:t>eveloping Performance Frameworks and Measures</w:t>
            </w:r>
          </w:p>
        </w:tc>
        <w:tc>
          <w:tcPr>
            <w:tcW w:w="5040" w:type="dxa"/>
          </w:tcPr>
          <w:p w14:paraId="752FC1B4" w14:textId="63E4EE46" w:rsidR="00577672" w:rsidRPr="00E46A39" w:rsidRDefault="00B96F09"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96F09">
              <w:rPr>
                <w:rFonts w:eastAsia="Times New Roman" w:cs="Times New Roman"/>
                <w:color w:val="000000"/>
              </w:rPr>
              <w:t xml:space="preserve">Participants will learn to establish a measurement system to guide, set, </w:t>
            </w:r>
            <w:proofErr w:type="gramStart"/>
            <w:r w:rsidRPr="00B96F09">
              <w:rPr>
                <w:rFonts w:eastAsia="Times New Roman" w:cs="Times New Roman"/>
                <w:color w:val="000000"/>
              </w:rPr>
              <w:t>monitor</w:t>
            </w:r>
            <w:proofErr w:type="gramEnd"/>
            <w:r w:rsidRPr="00B96F09">
              <w:rPr>
                <w:rFonts w:eastAsia="Times New Roman" w:cs="Times New Roman"/>
                <w:color w:val="000000"/>
              </w:rPr>
              <w:t xml:space="preserve"> and evaluate goals</w:t>
            </w:r>
            <w:r>
              <w:rPr>
                <w:rFonts w:eastAsia="Times New Roman" w:cs="Times New Roman"/>
                <w:color w:val="000000"/>
              </w:rPr>
              <w:t xml:space="preserve"> </w:t>
            </w:r>
            <w:r w:rsidRPr="00B96F09">
              <w:rPr>
                <w:rFonts w:eastAsia="Times New Roman" w:cs="Times New Roman"/>
                <w:color w:val="000000"/>
              </w:rPr>
              <w:t>with a Performance Management Mindset.</w:t>
            </w:r>
          </w:p>
        </w:tc>
      </w:tr>
      <w:tr w:rsidR="00577672" w14:paraId="5664A8D9"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A303BD4" w14:textId="3BE3D1A4" w:rsidR="00577672" w:rsidRPr="00E46A39"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Program Evaluation</w:t>
            </w:r>
          </w:p>
        </w:tc>
        <w:tc>
          <w:tcPr>
            <w:tcW w:w="5040" w:type="dxa"/>
          </w:tcPr>
          <w:p w14:paraId="1773F402" w14:textId="528C6056" w:rsidR="00577672" w:rsidRPr="00E46A39" w:rsidRDefault="008F157A"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F157A">
              <w:rPr>
                <w:rFonts w:eastAsia="Times New Roman" w:cs="Times New Roman"/>
                <w:color w:val="000000"/>
              </w:rPr>
              <w:t>Participants will learn to link evaluation to performance goals and strategies; apply performance</w:t>
            </w:r>
            <w:r>
              <w:rPr>
                <w:rFonts w:eastAsia="Times New Roman" w:cs="Times New Roman"/>
                <w:color w:val="000000"/>
              </w:rPr>
              <w:t xml:space="preserve"> </w:t>
            </w:r>
            <w:r w:rsidRPr="008F157A">
              <w:rPr>
                <w:rFonts w:eastAsia="Times New Roman" w:cs="Times New Roman"/>
                <w:color w:val="000000"/>
              </w:rPr>
              <w:t>frameworks to enhance program evaluation readiness and capacity, and track performance toward</w:t>
            </w:r>
            <w:r>
              <w:rPr>
                <w:rFonts w:eastAsia="Times New Roman" w:cs="Times New Roman"/>
                <w:color w:val="000000"/>
              </w:rPr>
              <w:t xml:space="preserve"> </w:t>
            </w:r>
            <w:r w:rsidRPr="008F157A">
              <w:rPr>
                <w:rFonts w:eastAsia="Times New Roman" w:cs="Times New Roman"/>
                <w:color w:val="000000"/>
              </w:rPr>
              <w:t>outcomes and results.</w:t>
            </w:r>
          </w:p>
        </w:tc>
      </w:tr>
      <w:tr w:rsidR="005A5B84" w14:paraId="39C47D43"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6EAE688B" w14:textId="6AE78D8D" w:rsidR="00577672" w:rsidRPr="00E46A39"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Complying with the Foundations of Evidence-Based Policymaking Act</w:t>
            </w:r>
          </w:p>
        </w:tc>
        <w:tc>
          <w:tcPr>
            <w:tcW w:w="5040" w:type="dxa"/>
          </w:tcPr>
          <w:p w14:paraId="33ED82ED" w14:textId="16C0C72D" w:rsidR="00577672" w:rsidRPr="00E46A39" w:rsidRDefault="00224FA5"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Learn what the Foundations of Evidence-Based Policy Making Act (Evidence Act) is, what it requires, and how agencies are addressing the</w:t>
            </w:r>
            <w:r w:rsidR="002A3567">
              <w:rPr>
                <w:rFonts w:eastAsia="Times New Roman" w:cs="Times New Roman"/>
                <w:color w:val="000000"/>
              </w:rPr>
              <w:t xml:space="preserve"> requirements and </w:t>
            </w:r>
            <w:r>
              <w:rPr>
                <w:rFonts w:eastAsia="Times New Roman" w:cs="Times New Roman"/>
                <w:color w:val="000000"/>
              </w:rPr>
              <w:t xml:space="preserve">using </w:t>
            </w:r>
            <w:r w:rsidR="002A3567">
              <w:rPr>
                <w:rFonts w:eastAsia="Times New Roman" w:cs="Times New Roman"/>
                <w:color w:val="000000"/>
              </w:rPr>
              <w:t>the Act</w:t>
            </w:r>
            <w:r>
              <w:rPr>
                <w:rFonts w:eastAsia="Times New Roman" w:cs="Times New Roman"/>
                <w:color w:val="000000"/>
              </w:rPr>
              <w:t xml:space="preserve"> to achieve their missions.</w:t>
            </w:r>
            <w:r w:rsidR="00CB1E4D">
              <w:rPr>
                <w:rFonts w:eastAsia="Times New Roman" w:cs="Times New Roman"/>
                <w:color w:val="000000"/>
              </w:rPr>
              <w:t xml:space="preserve">  Course covers the Act’s requirements and guidance from OMB and puts into perspective for managers and leaders who don’t interact with evidence </w:t>
            </w:r>
            <w:proofErr w:type="gramStart"/>
            <w:r w:rsidR="00CB1E4D">
              <w:rPr>
                <w:rFonts w:eastAsia="Times New Roman" w:cs="Times New Roman"/>
                <w:color w:val="000000"/>
              </w:rPr>
              <w:t>on a daily basis</w:t>
            </w:r>
            <w:proofErr w:type="gramEnd"/>
            <w:r w:rsidR="00CB1E4D">
              <w:rPr>
                <w:rFonts w:eastAsia="Times New Roman" w:cs="Times New Roman"/>
                <w:color w:val="000000"/>
              </w:rPr>
              <w:t>.</w:t>
            </w:r>
          </w:p>
        </w:tc>
      </w:tr>
      <w:tr w:rsidR="00577672" w14:paraId="72682B1A"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20651E6" w14:textId="28877920" w:rsidR="00577672" w:rsidRPr="00E46A39"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Creating Your Strategic Learning Agenda</w:t>
            </w:r>
          </w:p>
        </w:tc>
        <w:tc>
          <w:tcPr>
            <w:tcW w:w="5040" w:type="dxa"/>
          </w:tcPr>
          <w:p w14:paraId="0780C73D" w14:textId="1F11C77E" w:rsidR="00577672" w:rsidRPr="00E46A39" w:rsidRDefault="004A4F05"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Agencies are required to develop Learning Agendas.  This course provides an overview of what a learning agenda is, how to develop it for your agency, how to follow through with the agenda so it is not just a compliance </w:t>
            </w:r>
            <w:proofErr w:type="gramStart"/>
            <w:r>
              <w:rPr>
                <w:rFonts w:eastAsia="Times New Roman" w:cs="Times New Roman"/>
                <w:color w:val="000000"/>
              </w:rPr>
              <w:t>exercise, but</w:t>
            </w:r>
            <w:proofErr w:type="gramEnd"/>
            <w:r>
              <w:rPr>
                <w:rFonts w:eastAsia="Times New Roman" w:cs="Times New Roman"/>
                <w:color w:val="000000"/>
              </w:rPr>
              <w:t xml:space="preserve"> leads to your workforce having increased insight and expertise into policy development, making, and implementation.</w:t>
            </w:r>
          </w:p>
        </w:tc>
      </w:tr>
      <w:tr w:rsidR="00F01CAF" w14:paraId="0A77E995"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21D7B126" w14:textId="5D7B60BF" w:rsidR="00F01CAF" w:rsidRDefault="00F01CAF" w:rsidP="00AC3232">
            <w:pPr>
              <w:tabs>
                <w:tab w:val="left" w:pos="1080"/>
                <w:tab w:val="left" w:pos="2160"/>
                <w:tab w:val="left" w:pos="2520"/>
              </w:tabs>
              <w:rPr>
                <w:rFonts w:eastAsia="Times New Roman" w:cs="Times New Roman"/>
                <w:color w:val="000000"/>
              </w:rPr>
            </w:pPr>
            <w:r>
              <w:rPr>
                <w:rFonts w:eastAsia="Times New Roman" w:cs="Times New Roman"/>
                <w:color w:val="000000"/>
              </w:rPr>
              <w:t>Creating a Customer-Focused Government</w:t>
            </w:r>
          </w:p>
        </w:tc>
        <w:tc>
          <w:tcPr>
            <w:tcW w:w="5040" w:type="dxa"/>
          </w:tcPr>
          <w:p w14:paraId="6AB3B01B" w14:textId="1F45F807" w:rsidR="00F01CAF" w:rsidRPr="00E46A39" w:rsidRDefault="00CB1E4D"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Customer service and satisfaction have been elements and requirements for government programs for over 30 years.  This course provides the framework for how to think about government’s customers and to align missions, employee engage, with customer-based outcomes.</w:t>
            </w:r>
          </w:p>
        </w:tc>
      </w:tr>
      <w:tr w:rsidR="007A2F2E" w14:paraId="13F17F72"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8B078E5" w14:textId="6215CEB5" w:rsidR="007A2F2E" w:rsidRDefault="007A2F2E" w:rsidP="00AC3232">
            <w:pPr>
              <w:tabs>
                <w:tab w:val="left" w:pos="1080"/>
                <w:tab w:val="left" w:pos="2160"/>
                <w:tab w:val="left" w:pos="2520"/>
              </w:tabs>
              <w:rPr>
                <w:rFonts w:eastAsia="Times New Roman" w:cs="Times New Roman"/>
                <w:color w:val="000000"/>
              </w:rPr>
            </w:pPr>
            <w:r>
              <w:rPr>
                <w:rFonts w:eastAsia="Times New Roman" w:cs="Times New Roman"/>
                <w:color w:val="000000"/>
              </w:rPr>
              <w:lastRenderedPageBreak/>
              <w:t>Improving Citizen Satisfaction:  Overview of How to Develop Innovative Products/Services to Meet Customer</w:t>
            </w:r>
            <w:r w:rsidR="00E92C1B">
              <w:rPr>
                <w:rFonts w:eastAsia="Times New Roman" w:cs="Times New Roman"/>
                <w:color w:val="000000"/>
              </w:rPr>
              <w:t>s’ Desired Outcomes</w:t>
            </w:r>
          </w:p>
        </w:tc>
        <w:tc>
          <w:tcPr>
            <w:tcW w:w="5040" w:type="dxa"/>
          </w:tcPr>
          <w:p w14:paraId="6764A763" w14:textId="26A12473" w:rsidR="00304FAB" w:rsidRPr="00304FAB" w:rsidRDefault="00304FAB"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04FAB">
              <w:rPr>
                <w:rFonts w:eastAsia="Times New Roman" w:cs="Times New Roman"/>
                <w:color w:val="000000"/>
              </w:rPr>
              <w:t xml:space="preserve">This </w:t>
            </w:r>
            <w:r w:rsidR="00216153">
              <w:rPr>
                <w:rFonts w:eastAsia="Times New Roman" w:cs="Times New Roman"/>
                <w:color w:val="000000"/>
              </w:rPr>
              <w:t xml:space="preserve">course </w:t>
            </w:r>
            <w:r w:rsidRPr="00304FAB">
              <w:rPr>
                <w:rFonts w:eastAsia="Times New Roman" w:cs="Times New Roman"/>
                <w:color w:val="000000"/>
              </w:rPr>
              <w:t>provides an overview of the process and tools that can be used to achieve higher levels of customer satisfaction.  The course covers how to:</w:t>
            </w:r>
          </w:p>
          <w:p w14:paraId="1B766ED0" w14:textId="073DE80C" w:rsidR="00304FAB" w:rsidRPr="00304FAB" w:rsidRDefault="00304FAB"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04FAB">
              <w:rPr>
                <w:rFonts w:eastAsia="Times New Roman" w:cs="Times New Roman"/>
                <w:color w:val="000000"/>
              </w:rPr>
              <w:t>Define work as a tangible product</w:t>
            </w:r>
          </w:p>
          <w:p w14:paraId="2985DFFB" w14:textId="34C50494" w:rsidR="00304FAB" w:rsidRPr="00304FAB" w:rsidRDefault="00304FAB"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04FAB">
              <w:rPr>
                <w:rFonts w:eastAsia="Times New Roman" w:cs="Times New Roman"/>
                <w:color w:val="000000"/>
              </w:rPr>
              <w:t>Define customers segmented by roles</w:t>
            </w:r>
          </w:p>
          <w:p w14:paraId="0FEE5F6D" w14:textId="44E937F8" w:rsidR="00304FAB" w:rsidRPr="00304FAB" w:rsidRDefault="00304FAB"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04FAB">
              <w:rPr>
                <w:rFonts w:eastAsia="Times New Roman" w:cs="Times New Roman"/>
                <w:color w:val="000000"/>
              </w:rPr>
              <w:t>Measure the degree to which customers’ expectations are achieved</w:t>
            </w:r>
          </w:p>
          <w:p w14:paraId="4512C94A" w14:textId="77777777" w:rsidR="003413C7" w:rsidRDefault="00304FAB"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04FAB">
              <w:rPr>
                <w:rFonts w:eastAsia="Times New Roman" w:cs="Times New Roman"/>
                <w:color w:val="000000"/>
              </w:rPr>
              <w:t>Develop innovative new products or services</w:t>
            </w:r>
          </w:p>
          <w:p w14:paraId="251AE5E0" w14:textId="4F6732C0" w:rsidR="007A2F2E" w:rsidRPr="003413C7" w:rsidRDefault="00304FAB"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413C7">
              <w:rPr>
                <w:rFonts w:eastAsia="Times New Roman" w:cs="Times New Roman"/>
                <w:color w:val="000000"/>
              </w:rPr>
              <w:t>This course may be extended to a longer course to utilize participants’ actual work products/services.</w:t>
            </w:r>
          </w:p>
        </w:tc>
      </w:tr>
      <w:tr w:rsidR="009E1800" w14:paraId="12508792"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214A6A46" w14:textId="1062086C" w:rsidR="00577672"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Performance Budgeting</w:t>
            </w:r>
          </w:p>
        </w:tc>
        <w:tc>
          <w:tcPr>
            <w:tcW w:w="5040" w:type="dxa"/>
          </w:tcPr>
          <w:p w14:paraId="3EDBD393" w14:textId="04034A7F" w:rsidR="00577672" w:rsidRPr="00E46A39" w:rsidRDefault="008F157A"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F157A">
              <w:rPr>
                <w:rFonts w:eastAsia="Times New Roman" w:cs="Times New Roman"/>
                <w:color w:val="000000"/>
              </w:rPr>
              <w:t xml:space="preserve">Understand the impact and importance of linking </w:t>
            </w:r>
            <w:r>
              <w:rPr>
                <w:rFonts w:eastAsia="Times New Roman" w:cs="Times New Roman"/>
                <w:color w:val="000000"/>
              </w:rPr>
              <w:t>p</w:t>
            </w:r>
            <w:r w:rsidRPr="008F157A">
              <w:rPr>
                <w:rFonts w:eastAsia="Times New Roman" w:cs="Times New Roman"/>
                <w:color w:val="000000"/>
              </w:rPr>
              <w:t>lanning, measuring, and reporting to developing</w:t>
            </w:r>
            <w:r>
              <w:rPr>
                <w:rFonts w:eastAsia="Times New Roman" w:cs="Times New Roman"/>
                <w:color w:val="000000"/>
              </w:rPr>
              <w:t xml:space="preserve"> </w:t>
            </w:r>
            <w:r w:rsidRPr="008F157A">
              <w:rPr>
                <w:rFonts w:eastAsia="Times New Roman" w:cs="Times New Roman"/>
                <w:color w:val="000000"/>
              </w:rPr>
              <w:t xml:space="preserve">organization budgets. Participants will examine the </w:t>
            </w:r>
            <w:r w:rsidR="00C15676">
              <w:rPr>
                <w:rFonts w:eastAsia="Times New Roman" w:cs="Times New Roman"/>
                <w:color w:val="000000"/>
              </w:rPr>
              <w:t>f</w:t>
            </w:r>
            <w:r w:rsidRPr="008F157A">
              <w:rPr>
                <w:rFonts w:eastAsia="Times New Roman" w:cs="Times New Roman"/>
                <w:color w:val="000000"/>
              </w:rPr>
              <w:t>oundations of planning and budgeting; link</w:t>
            </w:r>
            <w:r w:rsidR="00C15676">
              <w:rPr>
                <w:rFonts w:eastAsia="Times New Roman" w:cs="Times New Roman"/>
                <w:color w:val="000000"/>
              </w:rPr>
              <w:t xml:space="preserve"> </w:t>
            </w:r>
            <w:r w:rsidRPr="008F157A">
              <w:rPr>
                <w:rFonts w:eastAsia="Times New Roman" w:cs="Times New Roman"/>
                <w:color w:val="000000"/>
              </w:rPr>
              <w:t>performance to budget formulation; align the performance linked budget with the organizational</w:t>
            </w:r>
            <w:r w:rsidR="00C15676">
              <w:rPr>
                <w:rFonts w:eastAsia="Times New Roman" w:cs="Times New Roman"/>
                <w:color w:val="000000"/>
              </w:rPr>
              <w:t xml:space="preserve"> </w:t>
            </w:r>
            <w:r w:rsidRPr="008F157A">
              <w:rPr>
                <w:rFonts w:eastAsia="Times New Roman" w:cs="Times New Roman"/>
                <w:color w:val="000000"/>
              </w:rPr>
              <w:t>budget calendar; identify internal and external sources of quantitative budget data; and capture and</w:t>
            </w:r>
            <w:r w:rsidR="00C15676">
              <w:rPr>
                <w:rFonts w:eastAsia="Times New Roman" w:cs="Times New Roman"/>
                <w:color w:val="000000"/>
              </w:rPr>
              <w:t xml:space="preserve"> </w:t>
            </w:r>
            <w:r w:rsidRPr="008F157A">
              <w:rPr>
                <w:rFonts w:eastAsia="Times New Roman" w:cs="Times New Roman"/>
                <w:color w:val="000000"/>
              </w:rPr>
              <w:t>report integrated budget and performance data for decision-makers and stakeholders.</w:t>
            </w:r>
          </w:p>
        </w:tc>
      </w:tr>
      <w:tr w:rsidR="009E1800" w14:paraId="319B82FD"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66DA55C" w14:textId="70E125C9" w:rsidR="00577672"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The Decision-Maker’s Toolbox: Prioritization Tools and Techniques</w:t>
            </w:r>
          </w:p>
        </w:tc>
        <w:tc>
          <w:tcPr>
            <w:tcW w:w="5040" w:type="dxa"/>
          </w:tcPr>
          <w:p w14:paraId="276D928A" w14:textId="40F5B303" w:rsidR="00577672" w:rsidRPr="00E46A39" w:rsidRDefault="00E24014"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24014">
              <w:rPr>
                <w:rFonts w:eastAsia="Times New Roman" w:cs="Times New Roman"/>
                <w:color w:val="000000"/>
              </w:rPr>
              <w:t xml:space="preserve">Leaders and managers often run a portfolio of operations.  In an era of budget constraints, organizations cannot do everything they wish they could and need clear, transparent ways to make decisions on prioritizing focus and resources.  Sometimes, leaders just need the right tool to improve communication, </w:t>
            </w:r>
            <w:proofErr w:type="gramStart"/>
            <w:r w:rsidRPr="00E24014">
              <w:rPr>
                <w:rFonts w:eastAsia="Times New Roman" w:cs="Times New Roman"/>
                <w:color w:val="000000"/>
              </w:rPr>
              <w:t>productivity</w:t>
            </w:r>
            <w:proofErr w:type="gramEnd"/>
            <w:r w:rsidRPr="00E24014">
              <w:rPr>
                <w:rFonts w:eastAsia="Times New Roman" w:cs="Times New Roman"/>
                <w:color w:val="000000"/>
              </w:rPr>
              <w:t xml:space="preserve"> and decision-making.  Tools include RACI Chart, Prioritization/Decision Matrix, Idea Filter, Success Equation, Force Field Analysis, Pareto Charts, etc</w:t>
            </w:r>
            <w:r w:rsidR="00FD3062" w:rsidRPr="00FD3062">
              <w:rPr>
                <w:rFonts w:eastAsia="Times New Roman" w:cs="Times New Roman"/>
                <w:color w:val="000000"/>
              </w:rPr>
              <w:t>.</w:t>
            </w:r>
          </w:p>
        </w:tc>
      </w:tr>
      <w:tr w:rsidR="009E1800" w14:paraId="40DDF4E9"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35FCE8FF" w14:textId="55B92266" w:rsidR="00577672"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Logic Models and Theories of Change</w:t>
            </w:r>
          </w:p>
        </w:tc>
        <w:tc>
          <w:tcPr>
            <w:tcW w:w="5040" w:type="dxa"/>
          </w:tcPr>
          <w:p w14:paraId="4283443F" w14:textId="081E7E7F" w:rsidR="00577672" w:rsidRPr="00E46A39" w:rsidRDefault="00CB4A21"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CB4A21">
              <w:rPr>
                <w:rFonts w:eastAsia="Times New Roman" w:cs="Times New Roman"/>
                <w:color w:val="000000"/>
              </w:rPr>
              <w:t>Participants will learn one of the greatest management tools ever devised – the logical model. The</w:t>
            </w:r>
            <w:r>
              <w:rPr>
                <w:rFonts w:eastAsia="Times New Roman" w:cs="Times New Roman"/>
                <w:color w:val="000000"/>
              </w:rPr>
              <w:t xml:space="preserve"> </w:t>
            </w:r>
            <w:r w:rsidRPr="00CB4A21">
              <w:rPr>
                <w:rFonts w:eastAsia="Times New Roman" w:cs="Times New Roman"/>
                <w:color w:val="000000"/>
              </w:rPr>
              <w:t xml:space="preserve">logic model is a structured approach to understanding the causal </w:t>
            </w:r>
            <w:r>
              <w:rPr>
                <w:rFonts w:eastAsia="Times New Roman" w:cs="Times New Roman"/>
                <w:color w:val="000000"/>
              </w:rPr>
              <w:t>r</w:t>
            </w:r>
            <w:r w:rsidRPr="00CB4A21">
              <w:rPr>
                <w:rFonts w:eastAsia="Times New Roman" w:cs="Times New Roman"/>
                <w:color w:val="000000"/>
              </w:rPr>
              <w:t>elationships between resources,</w:t>
            </w:r>
            <w:r>
              <w:rPr>
                <w:rFonts w:eastAsia="Times New Roman" w:cs="Times New Roman"/>
                <w:color w:val="000000"/>
              </w:rPr>
              <w:t xml:space="preserve"> </w:t>
            </w:r>
            <w:r w:rsidRPr="00CB4A21">
              <w:rPr>
                <w:rFonts w:eastAsia="Times New Roman" w:cs="Times New Roman"/>
                <w:color w:val="000000"/>
              </w:rPr>
              <w:t xml:space="preserve">activities/processes, outputs, </w:t>
            </w:r>
            <w:proofErr w:type="gramStart"/>
            <w:r w:rsidRPr="00CB4A21">
              <w:rPr>
                <w:rFonts w:eastAsia="Times New Roman" w:cs="Times New Roman"/>
                <w:color w:val="000000"/>
              </w:rPr>
              <w:t>outcome</w:t>
            </w:r>
            <w:proofErr w:type="gramEnd"/>
            <w:r w:rsidRPr="00CB4A21">
              <w:rPr>
                <w:rFonts w:eastAsia="Times New Roman" w:cs="Times New Roman"/>
                <w:color w:val="000000"/>
              </w:rPr>
              <w:t xml:space="preserve"> and impact and can be used from the organizational level</w:t>
            </w:r>
            <w:r>
              <w:rPr>
                <w:rFonts w:eastAsia="Times New Roman" w:cs="Times New Roman"/>
                <w:color w:val="000000"/>
              </w:rPr>
              <w:t xml:space="preserve"> </w:t>
            </w:r>
            <w:r w:rsidRPr="00CB4A21">
              <w:rPr>
                <w:rFonts w:eastAsia="Times New Roman" w:cs="Times New Roman"/>
                <w:color w:val="000000"/>
              </w:rPr>
              <w:t>cascading down to the</w:t>
            </w:r>
            <w:r>
              <w:rPr>
                <w:rFonts w:eastAsia="Times New Roman" w:cs="Times New Roman"/>
                <w:color w:val="000000"/>
              </w:rPr>
              <w:t xml:space="preserve"> even individual performance appraisals. Theories of change and logic models are ideas that undergird program success, monitoring, evaluation, and learning.</w:t>
            </w:r>
          </w:p>
        </w:tc>
      </w:tr>
      <w:tr w:rsidR="009E1800" w14:paraId="04C57AAD"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E096830" w14:textId="24313ECD" w:rsidR="00577672"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Advance Logic Models</w:t>
            </w:r>
          </w:p>
        </w:tc>
        <w:tc>
          <w:tcPr>
            <w:tcW w:w="5040" w:type="dxa"/>
          </w:tcPr>
          <w:p w14:paraId="69EEAF3C" w14:textId="5315E3D0" w:rsidR="00577672" w:rsidRPr="00E46A39" w:rsidRDefault="00B4288D"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4288D">
              <w:rPr>
                <w:rFonts w:eastAsia="Times New Roman" w:cs="Times New Roman"/>
                <w:color w:val="000000"/>
              </w:rPr>
              <w:t>Understand how to use the logic model for business planning, performance measurement and</w:t>
            </w:r>
            <w:r>
              <w:rPr>
                <w:rFonts w:eastAsia="Times New Roman" w:cs="Times New Roman"/>
                <w:color w:val="000000"/>
              </w:rPr>
              <w:t xml:space="preserve"> </w:t>
            </w:r>
            <w:r w:rsidRPr="00B4288D">
              <w:rPr>
                <w:rFonts w:eastAsia="Times New Roman" w:cs="Times New Roman"/>
                <w:color w:val="000000"/>
              </w:rPr>
              <w:t>evaluation. Go deeper into Logic Model Theory and Concepts and how to develop more robust</w:t>
            </w:r>
            <w:r>
              <w:rPr>
                <w:rFonts w:eastAsia="Times New Roman" w:cs="Times New Roman"/>
                <w:color w:val="000000"/>
              </w:rPr>
              <w:t xml:space="preserve"> </w:t>
            </w:r>
            <w:r w:rsidRPr="00B4288D">
              <w:rPr>
                <w:rFonts w:eastAsia="Times New Roman" w:cs="Times New Roman"/>
                <w:color w:val="000000"/>
              </w:rPr>
              <w:t>models and models for complex environments.</w:t>
            </w:r>
          </w:p>
        </w:tc>
      </w:tr>
      <w:tr w:rsidR="009E1800" w14:paraId="737BB42C"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26FFE536" w14:textId="77777777" w:rsidR="00577672" w:rsidRDefault="00577672" w:rsidP="00AC3232">
            <w:pPr>
              <w:tabs>
                <w:tab w:val="left" w:pos="1080"/>
                <w:tab w:val="left" w:pos="2160"/>
                <w:tab w:val="left" w:pos="2520"/>
              </w:tabs>
              <w:rPr>
                <w:rFonts w:eastAsia="Times New Roman" w:cs="Times New Roman"/>
                <w:color w:val="000000"/>
              </w:rPr>
            </w:pPr>
            <w:r>
              <w:rPr>
                <w:rFonts w:eastAsia="Times New Roman" w:cs="Times New Roman"/>
                <w:color w:val="000000"/>
              </w:rPr>
              <w:t>Workflow and Process Mapping</w:t>
            </w:r>
          </w:p>
        </w:tc>
        <w:tc>
          <w:tcPr>
            <w:tcW w:w="5040" w:type="dxa"/>
          </w:tcPr>
          <w:p w14:paraId="42092275" w14:textId="337CF130" w:rsidR="00577672" w:rsidRPr="00E46A39" w:rsidRDefault="00B4288D"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4288D">
              <w:rPr>
                <w:rFonts w:eastAsia="Times New Roman" w:cs="Times New Roman"/>
                <w:color w:val="000000"/>
              </w:rPr>
              <w:t>Participants will learn the process and techniques for workflow mapping. Workflow mapping can be</w:t>
            </w:r>
            <w:r>
              <w:rPr>
                <w:rFonts w:eastAsia="Times New Roman" w:cs="Times New Roman"/>
                <w:color w:val="000000"/>
              </w:rPr>
              <w:t xml:space="preserve"> </w:t>
            </w:r>
            <w:r w:rsidRPr="00B4288D">
              <w:rPr>
                <w:rFonts w:eastAsia="Times New Roman" w:cs="Times New Roman"/>
                <w:color w:val="000000"/>
              </w:rPr>
              <w:t xml:space="preserve">used to identify non-valued added steps in a process to increase </w:t>
            </w:r>
            <w:r w:rsidRPr="00B4288D">
              <w:rPr>
                <w:rFonts w:eastAsia="Times New Roman" w:cs="Times New Roman"/>
                <w:color w:val="000000"/>
              </w:rPr>
              <w:lastRenderedPageBreak/>
              <w:t>efficiency and to communicate roles,</w:t>
            </w:r>
            <w:r>
              <w:rPr>
                <w:rFonts w:eastAsia="Times New Roman" w:cs="Times New Roman"/>
                <w:color w:val="000000"/>
              </w:rPr>
              <w:t xml:space="preserve"> </w:t>
            </w:r>
            <w:r w:rsidRPr="00B4288D">
              <w:rPr>
                <w:rFonts w:eastAsia="Times New Roman" w:cs="Times New Roman"/>
                <w:color w:val="000000"/>
              </w:rPr>
              <w:t>responsibilities, and expectations across an organization to improve customer service.</w:t>
            </w:r>
          </w:p>
        </w:tc>
      </w:tr>
      <w:tr w:rsidR="005665AC" w14:paraId="31D73AE6"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ACE588B" w14:textId="30D31467" w:rsidR="005665AC" w:rsidRDefault="005665AC" w:rsidP="00AC3232">
            <w:pPr>
              <w:tabs>
                <w:tab w:val="left" w:pos="1080"/>
                <w:tab w:val="left" w:pos="2160"/>
                <w:tab w:val="left" w:pos="2520"/>
              </w:tabs>
              <w:rPr>
                <w:rFonts w:eastAsia="Times New Roman" w:cs="Times New Roman"/>
                <w:color w:val="000000"/>
              </w:rPr>
            </w:pPr>
            <w:r>
              <w:rPr>
                <w:rFonts w:eastAsia="Times New Roman" w:cs="Times New Roman"/>
                <w:color w:val="000000"/>
              </w:rPr>
              <w:lastRenderedPageBreak/>
              <w:t>Introduction to Project Management</w:t>
            </w:r>
          </w:p>
        </w:tc>
        <w:tc>
          <w:tcPr>
            <w:tcW w:w="5040" w:type="dxa"/>
          </w:tcPr>
          <w:p w14:paraId="6927AAFA" w14:textId="22FA353D" w:rsidR="005665AC" w:rsidRPr="00A84E4B" w:rsidRDefault="00087247"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87247">
              <w:rPr>
                <w:rFonts w:eastAsia="Times New Roman" w:cs="Times New Roman"/>
                <w:color w:val="000000"/>
              </w:rPr>
              <w:t xml:space="preserve">This course will provide participants with an introduction to basic project management.  Participants will learn the 4 phases and 10 steps of successful project management that are based on the Project Management Book of Knowledge (PMBOK).  The course will provide descriptions of the phases and steps, general timeframes for the steps, how to identify stakeholders, questions to ask, communication, implications if the step is skipped, common issues that occur during the steps, and a checklist for what needs to be accomplished.  </w:t>
            </w:r>
          </w:p>
        </w:tc>
      </w:tr>
      <w:tr w:rsidR="00DF2006" w14:paraId="0EE1B278"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1AC0F36E" w14:textId="105913E2" w:rsidR="00DF2006" w:rsidRDefault="00DF2006" w:rsidP="00AC3232">
            <w:pPr>
              <w:tabs>
                <w:tab w:val="left" w:pos="1080"/>
                <w:tab w:val="left" w:pos="2160"/>
                <w:tab w:val="left" w:pos="2520"/>
              </w:tabs>
              <w:rPr>
                <w:rFonts w:eastAsia="Times New Roman" w:cs="Times New Roman"/>
                <w:color w:val="000000"/>
              </w:rPr>
            </w:pPr>
            <w:r>
              <w:rPr>
                <w:rFonts w:eastAsia="Times New Roman" w:cs="Times New Roman"/>
                <w:color w:val="000000"/>
              </w:rPr>
              <w:t>The Process Improvement Process – Getting Results You Intend from Your Core Organizational Activities</w:t>
            </w:r>
          </w:p>
        </w:tc>
        <w:tc>
          <w:tcPr>
            <w:tcW w:w="5040" w:type="dxa"/>
          </w:tcPr>
          <w:p w14:paraId="1ED23E9B" w14:textId="2E1E7596" w:rsidR="00A84E4B" w:rsidRPr="00A84E4B" w:rsidRDefault="00A84E4B"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4E4B">
              <w:rPr>
                <w:rFonts w:eastAsia="Times New Roman" w:cs="Times New Roman"/>
                <w:color w:val="000000"/>
              </w:rPr>
              <w:t xml:space="preserve">This </w:t>
            </w:r>
            <w:r w:rsidR="00216153">
              <w:rPr>
                <w:rFonts w:eastAsia="Times New Roman" w:cs="Times New Roman"/>
                <w:color w:val="000000"/>
              </w:rPr>
              <w:t xml:space="preserve">course </w:t>
            </w:r>
            <w:r w:rsidRPr="00A84E4B">
              <w:rPr>
                <w:rFonts w:eastAsia="Times New Roman" w:cs="Times New Roman"/>
                <w:color w:val="000000"/>
              </w:rPr>
              <w:t>provides an overview of the process and tools for improving key business processes.  The course covers how to:</w:t>
            </w:r>
          </w:p>
          <w:p w14:paraId="02B8797C" w14:textId="25955F37" w:rsidR="00A84E4B" w:rsidRPr="00A84E4B" w:rsidRDefault="00A84E4B" w:rsidP="00AC3232">
            <w:pPr>
              <w:pStyle w:val="ListParagraph"/>
              <w:numPr>
                <w:ilvl w:val="0"/>
                <w:numId w:val="7"/>
              </w:numPr>
              <w:tabs>
                <w:tab w:val="left" w:pos="1080"/>
                <w:tab w:val="left" w:pos="2160"/>
                <w:tab w:val="left" w:pos="2520"/>
              </w:tabs>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4E4B">
              <w:rPr>
                <w:rFonts w:eastAsia="Times New Roman" w:cs="Times New Roman"/>
                <w:color w:val="000000"/>
              </w:rPr>
              <w:t>Observe the process</w:t>
            </w:r>
          </w:p>
          <w:p w14:paraId="7A192DDC" w14:textId="5C961AF5" w:rsidR="00A84E4B" w:rsidRPr="00A84E4B" w:rsidRDefault="00A84E4B" w:rsidP="00AC3232">
            <w:pPr>
              <w:pStyle w:val="ListParagraph"/>
              <w:numPr>
                <w:ilvl w:val="0"/>
                <w:numId w:val="7"/>
              </w:numPr>
              <w:tabs>
                <w:tab w:val="left" w:pos="1080"/>
                <w:tab w:val="left" w:pos="2160"/>
                <w:tab w:val="left" w:pos="2520"/>
              </w:tabs>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4E4B">
              <w:rPr>
                <w:rFonts w:eastAsia="Times New Roman" w:cs="Times New Roman"/>
                <w:color w:val="000000"/>
              </w:rPr>
              <w:t>Flowchart the process</w:t>
            </w:r>
          </w:p>
          <w:p w14:paraId="33014A62" w14:textId="3AD63147" w:rsidR="00A84E4B" w:rsidRPr="00A84E4B" w:rsidRDefault="00A84E4B" w:rsidP="00AC3232">
            <w:pPr>
              <w:pStyle w:val="ListParagraph"/>
              <w:numPr>
                <w:ilvl w:val="0"/>
                <w:numId w:val="7"/>
              </w:numPr>
              <w:tabs>
                <w:tab w:val="left" w:pos="1080"/>
                <w:tab w:val="left" w:pos="2160"/>
                <w:tab w:val="left" w:pos="2520"/>
              </w:tabs>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4E4B">
              <w:rPr>
                <w:rFonts w:eastAsia="Times New Roman" w:cs="Times New Roman"/>
                <w:color w:val="000000"/>
              </w:rPr>
              <w:t>Measure process performance</w:t>
            </w:r>
          </w:p>
          <w:p w14:paraId="538F6CF0" w14:textId="676CA7F9" w:rsidR="00A84E4B" w:rsidRPr="00A84E4B" w:rsidRDefault="00A84E4B" w:rsidP="00AC3232">
            <w:pPr>
              <w:pStyle w:val="ListParagraph"/>
              <w:numPr>
                <w:ilvl w:val="0"/>
                <w:numId w:val="7"/>
              </w:numPr>
              <w:tabs>
                <w:tab w:val="left" w:pos="1080"/>
                <w:tab w:val="left" w:pos="2160"/>
                <w:tab w:val="left" w:pos="2520"/>
              </w:tabs>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4E4B">
              <w:rPr>
                <w:rFonts w:eastAsia="Times New Roman" w:cs="Times New Roman"/>
                <w:color w:val="000000"/>
              </w:rPr>
              <w:t>Improve the process</w:t>
            </w:r>
          </w:p>
          <w:p w14:paraId="40531D23" w14:textId="6F1EC280" w:rsidR="00A84E4B" w:rsidRPr="00A84E4B" w:rsidRDefault="00A84E4B" w:rsidP="00AC3232">
            <w:pPr>
              <w:pStyle w:val="ListParagraph"/>
              <w:numPr>
                <w:ilvl w:val="0"/>
                <w:numId w:val="7"/>
              </w:numPr>
              <w:tabs>
                <w:tab w:val="left" w:pos="1080"/>
                <w:tab w:val="left" w:pos="2160"/>
                <w:tab w:val="left" w:pos="2520"/>
              </w:tabs>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4E4B">
              <w:rPr>
                <w:rFonts w:eastAsia="Times New Roman" w:cs="Times New Roman"/>
                <w:color w:val="000000"/>
              </w:rPr>
              <w:t>Define work as a tangible product</w:t>
            </w:r>
          </w:p>
          <w:p w14:paraId="77478C63" w14:textId="4F919B69" w:rsidR="00DF2006" w:rsidRPr="004A4F05" w:rsidRDefault="00A84E4B"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4E4B">
              <w:rPr>
                <w:rFonts w:eastAsia="Times New Roman" w:cs="Times New Roman"/>
                <w:color w:val="000000"/>
              </w:rPr>
              <w:t>This course may be extended to a longer course to utilize participants’ actual work products/services.</w:t>
            </w:r>
          </w:p>
        </w:tc>
      </w:tr>
      <w:tr w:rsidR="00767BEC" w14:paraId="4FB8DDB1"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2CEFE4E" w14:textId="6B8A2AE9" w:rsidR="00767BEC" w:rsidRDefault="00092577" w:rsidP="00AC3232">
            <w:pPr>
              <w:tabs>
                <w:tab w:val="left" w:pos="1008"/>
              </w:tabs>
              <w:rPr>
                <w:rFonts w:eastAsia="Times New Roman" w:cs="Times New Roman"/>
                <w:color w:val="000000"/>
              </w:rPr>
            </w:pPr>
            <w:r w:rsidRPr="00092577">
              <w:rPr>
                <w:rFonts w:eastAsia="Times New Roman" w:cs="Times New Roman"/>
                <w:color w:val="000000"/>
              </w:rPr>
              <w:t>The Problem-Solving Process: How to Identify and Resolve Issues Affecting Your Success</w:t>
            </w:r>
          </w:p>
        </w:tc>
        <w:tc>
          <w:tcPr>
            <w:tcW w:w="5040" w:type="dxa"/>
          </w:tcPr>
          <w:p w14:paraId="22487926" w14:textId="48891AAE" w:rsidR="00216153" w:rsidRPr="00216153" w:rsidRDefault="00216153"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16153">
              <w:rPr>
                <w:rFonts w:eastAsia="Times New Roman" w:cs="Times New Roman"/>
                <w:color w:val="000000"/>
              </w:rPr>
              <w:t xml:space="preserve">This </w:t>
            </w:r>
            <w:r>
              <w:rPr>
                <w:rFonts w:eastAsia="Times New Roman" w:cs="Times New Roman"/>
                <w:color w:val="000000"/>
              </w:rPr>
              <w:t xml:space="preserve">course </w:t>
            </w:r>
            <w:r w:rsidRPr="00216153">
              <w:rPr>
                <w:rFonts w:eastAsia="Times New Roman" w:cs="Times New Roman"/>
                <w:color w:val="000000"/>
              </w:rPr>
              <w:t>provides an overview of the process and tools for problem-solving key organizational issues.  The course covers how to:</w:t>
            </w:r>
          </w:p>
          <w:p w14:paraId="515C5ACE" w14:textId="1B2A9F3A" w:rsidR="00216153" w:rsidRPr="00216153" w:rsidRDefault="00216153"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16153">
              <w:rPr>
                <w:rFonts w:eastAsia="Times New Roman" w:cs="Times New Roman"/>
                <w:color w:val="000000"/>
              </w:rPr>
              <w:t>Define the Problem</w:t>
            </w:r>
          </w:p>
          <w:p w14:paraId="5F146CEC" w14:textId="30705B74" w:rsidR="00216153" w:rsidRPr="00216153" w:rsidRDefault="00216153"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16153">
              <w:rPr>
                <w:rFonts w:eastAsia="Times New Roman" w:cs="Times New Roman"/>
                <w:color w:val="000000"/>
              </w:rPr>
              <w:t>Verify the Problem</w:t>
            </w:r>
          </w:p>
          <w:p w14:paraId="2DA37CA4" w14:textId="1809F9D5" w:rsidR="00216153" w:rsidRPr="00216153" w:rsidRDefault="00216153"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16153">
              <w:rPr>
                <w:rFonts w:eastAsia="Times New Roman" w:cs="Times New Roman"/>
                <w:color w:val="000000"/>
              </w:rPr>
              <w:t>Write the Problem Statement</w:t>
            </w:r>
          </w:p>
          <w:p w14:paraId="73F1706C" w14:textId="0E55E44D" w:rsidR="00216153" w:rsidRPr="00216153" w:rsidRDefault="00216153"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16153">
              <w:rPr>
                <w:rFonts w:eastAsia="Times New Roman" w:cs="Times New Roman"/>
                <w:color w:val="000000"/>
              </w:rPr>
              <w:t>Look for the Root Cause</w:t>
            </w:r>
          </w:p>
          <w:p w14:paraId="1072DF11" w14:textId="36C17F39" w:rsidR="00216153" w:rsidRPr="00216153" w:rsidRDefault="00216153" w:rsidP="00AC3232">
            <w:pPr>
              <w:pStyle w:val="ListParagraph"/>
              <w:numPr>
                <w:ilvl w:val="0"/>
                <w:numId w:val="7"/>
              </w:numPr>
              <w:tabs>
                <w:tab w:val="left" w:pos="1080"/>
                <w:tab w:val="left" w:pos="2160"/>
                <w:tab w:val="left" w:pos="2520"/>
              </w:tabs>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16153">
              <w:rPr>
                <w:rFonts w:eastAsia="Times New Roman" w:cs="Times New Roman"/>
                <w:color w:val="000000"/>
              </w:rPr>
              <w:t>Develop the Solution</w:t>
            </w:r>
          </w:p>
          <w:p w14:paraId="49FED186" w14:textId="21E43E28" w:rsidR="00767BEC" w:rsidRPr="004A4F05" w:rsidRDefault="00216153"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16153">
              <w:rPr>
                <w:rFonts w:eastAsia="Times New Roman" w:cs="Times New Roman"/>
                <w:color w:val="000000"/>
              </w:rPr>
              <w:t>This course may be extended to a longer course to utilize participants’ actual work products/services.</w:t>
            </w:r>
          </w:p>
        </w:tc>
      </w:tr>
      <w:tr w:rsidR="009E1800" w14:paraId="37C9632A" w14:textId="77777777" w:rsidTr="00AC323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BBBFBBC" w14:textId="46AEF068" w:rsidR="00577672" w:rsidRDefault="005A5B84" w:rsidP="00AC3232">
            <w:pPr>
              <w:tabs>
                <w:tab w:val="left" w:pos="1080"/>
                <w:tab w:val="left" w:pos="2160"/>
                <w:tab w:val="left" w:pos="2520"/>
              </w:tabs>
              <w:rPr>
                <w:rFonts w:eastAsia="Times New Roman" w:cs="Times New Roman"/>
                <w:color w:val="000000"/>
              </w:rPr>
            </w:pPr>
            <w:r>
              <w:rPr>
                <w:rFonts w:eastAsia="Times New Roman" w:cs="Times New Roman"/>
                <w:color w:val="000000"/>
              </w:rPr>
              <w:t>The Malcolm Baldrige Criteria for Performance</w:t>
            </w:r>
          </w:p>
        </w:tc>
        <w:tc>
          <w:tcPr>
            <w:tcW w:w="5040" w:type="dxa"/>
          </w:tcPr>
          <w:p w14:paraId="25B54FF6" w14:textId="7F11BBDA" w:rsidR="00577672" w:rsidRPr="00E0782A" w:rsidRDefault="004A4F05" w:rsidP="00AC3232">
            <w:pPr>
              <w:tabs>
                <w:tab w:val="left" w:pos="1080"/>
                <w:tab w:val="left" w:pos="2160"/>
                <w:tab w:val="left" w:pos="2520"/>
              </w:tabs>
              <w:cnfStyle w:val="010000000000" w:firstRow="0" w:lastRow="1" w:firstColumn="0" w:lastColumn="0" w:oddVBand="0" w:evenVBand="0" w:oddHBand="0" w:evenHBand="0" w:firstRowFirstColumn="0" w:firstRowLastColumn="0" w:lastRowFirstColumn="0" w:lastRowLastColumn="0"/>
              <w:rPr>
                <w:rFonts w:eastAsia="Times New Roman" w:cs="Times New Roman"/>
                <w:b w:val="0"/>
                <w:bCs w:val="0"/>
                <w:color w:val="000000"/>
              </w:rPr>
            </w:pPr>
            <w:r w:rsidRPr="00E0782A">
              <w:rPr>
                <w:rFonts w:eastAsia="Times New Roman" w:cs="Times New Roman"/>
                <w:b w:val="0"/>
                <w:bCs w:val="0"/>
                <w:color w:val="000000"/>
              </w:rPr>
              <w:t>Understand the research-based, systems approach to creating organizational and performance</w:t>
            </w:r>
            <w:r w:rsidRPr="00E0782A">
              <w:rPr>
                <w:rFonts w:eastAsia="Times New Roman" w:cs="Times New Roman"/>
                <w:b w:val="0"/>
                <w:bCs w:val="0"/>
                <w:color w:val="000000"/>
              </w:rPr>
              <w:t xml:space="preserve"> </w:t>
            </w:r>
            <w:r w:rsidRPr="00E0782A">
              <w:rPr>
                <w:rFonts w:eastAsia="Times New Roman" w:cs="Times New Roman"/>
                <w:b w:val="0"/>
                <w:bCs w:val="0"/>
                <w:color w:val="000000"/>
              </w:rPr>
              <w:t>excellence. Review the criteria and system of review for the Baldrige National Quality Award.</w:t>
            </w:r>
            <w:r w:rsidRPr="00E0782A">
              <w:rPr>
                <w:rFonts w:eastAsia="Times New Roman" w:cs="Times New Roman"/>
                <w:b w:val="0"/>
                <w:bCs w:val="0"/>
                <w:color w:val="000000"/>
              </w:rPr>
              <w:t xml:space="preserve">  Determine how well your organization would compare and understand systemic ways to improve your organization.</w:t>
            </w:r>
          </w:p>
        </w:tc>
      </w:tr>
    </w:tbl>
    <w:p w14:paraId="4CCE6118" w14:textId="3174A08F" w:rsidR="00577672" w:rsidRDefault="00577672" w:rsidP="00E46A39">
      <w:pPr>
        <w:tabs>
          <w:tab w:val="left" w:pos="1080"/>
          <w:tab w:val="left" w:pos="2160"/>
          <w:tab w:val="left" w:pos="2520"/>
        </w:tabs>
        <w:rPr>
          <w:rFonts w:eastAsia="Times New Roman" w:cs="Times New Roman"/>
          <w:color w:val="000000"/>
        </w:rPr>
      </w:pPr>
    </w:p>
    <w:p w14:paraId="4F589A41" w14:textId="7E77563E" w:rsidR="001D1AA9" w:rsidRDefault="001D1AA9">
      <w:pPr>
        <w:rPr>
          <w:rFonts w:eastAsia="Times New Roman" w:cs="Times New Roman"/>
          <w:color w:val="000000"/>
          <w:sz w:val="22"/>
          <w:szCs w:val="22"/>
        </w:rPr>
      </w:pPr>
      <w:r>
        <w:rPr>
          <w:rFonts w:eastAsia="Times New Roman" w:cs="Times New Roman"/>
          <w:color w:val="000000"/>
        </w:rPr>
        <w:br w:type="page"/>
      </w:r>
    </w:p>
    <w:p w14:paraId="152293CC" w14:textId="11A8D1A1" w:rsidR="00175456" w:rsidRPr="00BF7FA7" w:rsidRDefault="00175456" w:rsidP="004A4F05">
      <w:pPr>
        <w:pStyle w:val="Heading1"/>
        <w:rPr>
          <w:rFonts w:eastAsia="Times New Roman"/>
        </w:rPr>
      </w:pPr>
      <w:bookmarkStart w:id="2" w:name="_Toc79495198"/>
      <w:r w:rsidRPr="00BF7FA7">
        <w:rPr>
          <w:rFonts w:eastAsia="Times New Roman"/>
        </w:rPr>
        <w:lastRenderedPageBreak/>
        <w:t>Leadership Development</w:t>
      </w:r>
      <w:r>
        <w:rPr>
          <w:rFonts w:eastAsia="Times New Roman"/>
        </w:rPr>
        <w:t xml:space="preserve"> and Improvement</w:t>
      </w:r>
      <w:bookmarkEnd w:id="2"/>
    </w:p>
    <w:p w14:paraId="6CF77224" w14:textId="5ACC6B82" w:rsidR="004A4F05" w:rsidRDefault="001C4D04" w:rsidP="004A4F05">
      <w:pPr>
        <w:pStyle w:val="ListParagraph"/>
        <w:tabs>
          <w:tab w:val="left" w:pos="1080"/>
          <w:tab w:val="left" w:pos="2160"/>
          <w:tab w:val="left" w:pos="2520"/>
        </w:tabs>
        <w:ind w:left="4320"/>
        <w:rPr>
          <w:rFonts w:eastAsia="Times New Roman" w:cs="Times New Roman"/>
          <w:color w:val="000000"/>
        </w:rPr>
      </w:pPr>
      <w:r w:rsidRPr="006806E7">
        <w:rPr>
          <w:noProof/>
        </w:rPr>
        <w:drawing>
          <wp:anchor distT="0" distB="0" distL="114300" distR="114300" simplePos="0" relativeHeight="251665408" behindDoc="0" locked="0" layoutInCell="1" allowOverlap="1" wp14:anchorId="3E15EA3E" wp14:editId="72D92CA0">
            <wp:simplePos x="0" y="0"/>
            <wp:positionH relativeFrom="margin">
              <wp:posOffset>-19685</wp:posOffset>
            </wp:positionH>
            <wp:positionV relativeFrom="paragraph">
              <wp:posOffset>161925</wp:posOffset>
            </wp:positionV>
            <wp:extent cx="3239770" cy="18211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770" cy="1821180"/>
                    </a:xfrm>
                    <a:prstGeom prst="rect">
                      <a:avLst/>
                    </a:prstGeom>
                  </pic:spPr>
                </pic:pic>
              </a:graphicData>
            </a:graphic>
            <wp14:sizeRelH relativeFrom="page">
              <wp14:pctWidth>0</wp14:pctWidth>
            </wp14:sizeRelH>
            <wp14:sizeRelV relativeFrom="page">
              <wp14:pctHeight>0</wp14:pctHeight>
            </wp14:sizeRelV>
          </wp:anchor>
        </w:drawing>
      </w:r>
    </w:p>
    <w:p w14:paraId="1816DA4E" w14:textId="6E69B758" w:rsidR="004A4F05" w:rsidRDefault="009E1800" w:rsidP="004A4F05">
      <w:pPr>
        <w:pStyle w:val="ListParagraph"/>
        <w:tabs>
          <w:tab w:val="left" w:pos="1080"/>
          <w:tab w:val="left" w:pos="2160"/>
          <w:tab w:val="left" w:pos="2520"/>
        </w:tabs>
        <w:ind w:left="4320"/>
        <w:rPr>
          <w:rFonts w:eastAsia="Times New Roman" w:cs="Times New Roman"/>
          <w:color w:val="000000"/>
        </w:rPr>
      </w:pPr>
      <w:r>
        <w:rPr>
          <w:rFonts w:eastAsia="Times New Roman" w:cs="Times New Roman"/>
          <w:color w:val="000000"/>
        </w:rPr>
        <w:t>Leadership development and improvement courses are designed around the components of the Office of Personnel Management’s Senior Executive Service (SES) Executive Corps Qualifications (ECQs)</w:t>
      </w:r>
      <w:r w:rsidR="00112561">
        <w:rPr>
          <w:rFonts w:eastAsia="Times New Roman" w:cs="Times New Roman"/>
          <w:color w:val="000000"/>
        </w:rPr>
        <w:t xml:space="preserve">, as well as other well-known leadership competencies frameworks.  </w:t>
      </w:r>
      <w:r w:rsidR="000805D9">
        <w:rPr>
          <w:rFonts w:eastAsia="Times New Roman" w:cs="Times New Roman"/>
          <w:color w:val="000000"/>
        </w:rPr>
        <w:t xml:space="preserve">Courses are structured to so that they can be delivered as stand-alone individual </w:t>
      </w:r>
      <w:r w:rsidR="004879B9">
        <w:rPr>
          <w:rFonts w:eastAsia="Times New Roman" w:cs="Times New Roman"/>
          <w:color w:val="000000"/>
        </w:rPr>
        <w:t>courses or</w:t>
      </w:r>
      <w:r w:rsidR="000805D9">
        <w:rPr>
          <w:rFonts w:eastAsia="Times New Roman" w:cs="Times New Roman"/>
          <w:color w:val="000000"/>
        </w:rPr>
        <w:t xml:space="preserve"> combined for a cohort development program.  </w:t>
      </w:r>
    </w:p>
    <w:p w14:paraId="74EABBF3" w14:textId="6C39476B" w:rsidR="001C4D04" w:rsidRDefault="001C4D04" w:rsidP="004A4F05">
      <w:pPr>
        <w:pStyle w:val="ListParagraph"/>
        <w:tabs>
          <w:tab w:val="left" w:pos="1080"/>
          <w:tab w:val="left" w:pos="2160"/>
          <w:tab w:val="left" w:pos="2520"/>
        </w:tabs>
        <w:ind w:left="4320"/>
        <w:rPr>
          <w:rFonts w:eastAsia="Times New Roman" w:cs="Times New Roman"/>
          <w:color w:val="000000"/>
        </w:rPr>
      </w:pPr>
    </w:p>
    <w:p w14:paraId="6C75D4AC" w14:textId="6E9BE98D" w:rsidR="001C4D04" w:rsidRDefault="001C4D04" w:rsidP="001C4D04">
      <w:pPr>
        <w:rPr>
          <w:rFonts w:eastAsia="Times New Roman"/>
        </w:rPr>
      </w:pPr>
      <w:r>
        <w:rPr>
          <w:rFonts w:eastAsia="Times New Roman" w:cs="Times New Roman"/>
          <w:color w:val="000000"/>
        </w:rPr>
        <w:t xml:space="preserve">IPA’s approach is to </w:t>
      </w:r>
      <w:r>
        <w:rPr>
          <w:rFonts w:eastAsia="Times New Roman" w:cs="Times New Roman"/>
          <w:color w:val="000000"/>
        </w:rPr>
        <w:t xml:space="preserve">develop </w:t>
      </w:r>
      <w:r>
        <w:rPr>
          <w:rFonts w:eastAsia="Times New Roman" w:cs="Times New Roman"/>
          <w:color w:val="000000"/>
        </w:rPr>
        <w:t>leaders</w:t>
      </w:r>
      <w:r>
        <w:rPr>
          <w:rFonts w:eastAsia="Times New Roman" w:cs="Times New Roman"/>
          <w:color w:val="000000"/>
        </w:rPr>
        <w:t xml:space="preserve"> iteratively by first focusing on leading self, then leading others, and then leading organizations.</w:t>
      </w:r>
    </w:p>
    <w:tbl>
      <w:tblPr>
        <w:tblStyle w:val="GridTable4-Accent1"/>
        <w:tblW w:w="9355" w:type="dxa"/>
        <w:tblLook w:val="04A0" w:firstRow="1" w:lastRow="0" w:firstColumn="1" w:lastColumn="0" w:noHBand="0" w:noVBand="1"/>
      </w:tblPr>
      <w:tblGrid>
        <w:gridCol w:w="4315"/>
        <w:gridCol w:w="5040"/>
      </w:tblGrid>
      <w:tr w:rsidR="001C4D04" w14:paraId="5AB61EBE" w14:textId="77777777" w:rsidTr="00AC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15" w:type="dxa"/>
          </w:tcPr>
          <w:p w14:paraId="1805F0A6" w14:textId="77777777" w:rsidR="001C4D04" w:rsidRDefault="001C4D04" w:rsidP="00AC3232">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Course Title</w:t>
            </w:r>
          </w:p>
        </w:tc>
        <w:tc>
          <w:tcPr>
            <w:tcW w:w="5040" w:type="dxa"/>
          </w:tcPr>
          <w:p w14:paraId="36EDC548" w14:textId="77777777" w:rsidR="001C4D04" w:rsidRPr="00E46A39" w:rsidRDefault="001C4D04" w:rsidP="00AC3232">
            <w:pPr>
              <w:tabs>
                <w:tab w:val="left" w:pos="1080"/>
                <w:tab w:val="left" w:pos="2160"/>
                <w:tab w:val="left" w:pos="2520"/>
              </w:tab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46A39">
              <w:rPr>
                <w:rFonts w:eastAsia="Times New Roman" w:cs="Times New Roman"/>
                <w:color w:val="000000"/>
              </w:rPr>
              <w:t>Course Description</w:t>
            </w:r>
          </w:p>
        </w:tc>
      </w:tr>
      <w:tr w:rsidR="00531041" w14:paraId="378447E7"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F9EBD8" w:themeFill="accent3" w:themeFillTint="33"/>
          </w:tcPr>
          <w:p w14:paraId="422F5171" w14:textId="5C88F9DC" w:rsidR="00531041" w:rsidRDefault="00531041" w:rsidP="00AC3232">
            <w:pPr>
              <w:pStyle w:val="ListParagraph"/>
              <w:tabs>
                <w:tab w:val="left" w:pos="1080"/>
                <w:tab w:val="left" w:pos="2160"/>
                <w:tab w:val="left" w:pos="2520"/>
              </w:tabs>
              <w:ind w:left="0"/>
              <w:rPr>
                <w:rFonts w:eastAsia="Times New Roman" w:cs="Times New Roman"/>
                <w:color w:val="000000"/>
                <w:sz w:val="20"/>
                <w:szCs w:val="20"/>
              </w:rPr>
            </w:pPr>
            <w:r>
              <w:rPr>
                <w:rFonts w:eastAsia="Times New Roman" w:cs="Times New Roman"/>
                <w:color w:val="000000"/>
                <w:sz w:val="20"/>
                <w:szCs w:val="20"/>
              </w:rPr>
              <w:t>Leading Self Course</w:t>
            </w:r>
            <w:r w:rsidR="00BA6213">
              <w:rPr>
                <w:rFonts w:eastAsia="Times New Roman" w:cs="Times New Roman"/>
                <w:color w:val="000000"/>
                <w:sz w:val="20"/>
                <w:szCs w:val="20"/>
              </w:rPr>
              <w:t>s</w:t>
            </w:r>
          </w:p>
        </w:tc>
        <w:tc>
          <w:tcPr>
            <w:tcW w:w="5040" w:type="dxa"/>
            <w:shd w:val="clear" w:color="auto" w:fill="F9EBD8" w:themeFill="accent3" w:themeFillTint="33"/>
          </w:tcPr>
          <w:p w14:paraId="2C544268" w14:textId="77777777" w:rsidR="00531041" w:rsidRPr="00E46A39" w:rsidRDefault="00531041"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1C4D04" w14:paraId="43C7705C"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17C632B9" w14:textId="0377AAA2" w:rsidR="001C4D04" w:rsidRPr="00E46A39" w:rsidRDefault="001C4D04" w:rsidP="00AC3232">
            <w:pPr>
              <w:pStyle w:val="ListParagraph"/>
              <w:tabs>
                <w:tab w:val="left" w:pos="1080"/>
                <w:tab w:val="left" w:pos="2160"/>
                <w:tab w:val="left" w:pos="2520"/>
              </w:tabs>
              <w:ind w:left="0"/>
              <w:rPr>
                <w:rFonts w:eastAsia="Times New Roman" w:cs="Times New Roman"/>
                <w:color w:val="000000"/>
                <w:sz w:val="20"/>
                <w:szCs w:val="20"/>
              </w:rPr>
            </w:pPr>
            <w:r>
              <w:rPr>
                <w:rFonts w:eastAsia="Times New Roman" w:cs="Times New Roman"/>
                <w:color w:val="000000"/>
                <w:sz w:val="20"/>
                <w:szCs w:val="20"/>
              </w:rPr>
              <w:t>Personal Accountability I: Overcoming Blaming, Victim, and Procrastination Thinking</w:t>
            </w:r>
          </w:p>
        </w:tc>
        <w:tc>
          <w:tcPr>
            <w:tcW w:w="5040" w:type="dxa"/>
          </w:tcPr>
          <w:p w14:paraId="29949290" w14:textId="4E757394" w:rsidR="001C4D04" w:rsidRPr="00E46A39" w:rsidRDefault="00136F70"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36F70">
              <w:rPr>
                <w:rFonts w:eastAsia="Times New Roman" w:cs="Times New Roman"/>
                <w:color w:val="000000"/>
              </w:rPr>
              <w:t xml:space="preserve">This course focuses on assisting individuals think differently, enabling them and their organizations to eliminate costly Blame, Finger-pointing, Complaining, Victim </w:t>
            </w:r>
            <w:r w:rsidRPr="00136F70">
              <w:rPr>
                <w:rFonts w:eastAsia="Times New Roman" w:cs="Times New Roman"/>
                <w:color w:val="000000"/>
              </w:rPr>
              <w:t>Thinking, Entitlement</w:t>
            </w:r>
            <w:r w:rsidRPr="00136F70">
              <w:rPr>
                <w:rFonts w:eastAsia="Times New Roman" w:cs="Times New Roman"/>
                <w:color w:val="000000"/>
              </w:rPr>
              <w:t xml:space="preserve">, and Procrastination.  The course provides insight and a simple tool to increase personal accountability as a core value and behavior.  Through improved personal accountability individuals and organizations </w:t>
            </w:r>
            <w:proofErr w:type="gramStart"/>
            <w:r w:rsidRPr="00136F70">
              <w:rPr>
                <w:rFonts w:eastAsia="Times New Roman" w:cs="Times New Roman"/>
                <w:color w:val="000000"/>
              </w:rPr>
              <w:t>are able to</w:t>
            </w:r>
            <w:proofErr w:type="gramEnd"/>
            <w:r w:rsidRPr="00136F70">
              <w:rPr>
                <w:rFonts w:eastAsia="Times New Roman" w:cs="Times New Roman"/>
                <w:color w:val="000000"/>
              </w:rPr>
              <w:t xml:space="preserve"> successfully:  Solve Problems, Adapt to Change, Elevate Staff Engagement, Enhance Communication, Build Effective teams, Boost Morale, Increase Productivity, Foster Creativity, and Develop People.  Learning from the course can be applied both personally and professionally.</w:t>
            </w:r>
          </w:p>
        </w:tc>
      </w:tr>
      <w:tr w:rsidR="00AC3232" w14:paraId="04157747"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52E4F4A" w14:textId="370E34B1" w:rsidR="001C4D04" w:rsidRPr="00E46A39" w:rsidRDefault="001C4D04" w:rsidP="00AC3232">
            <w:pPr>
              <w:tabs>
                <w:tab w:val="left" w:pos="1080"/>
                <w:tab w:val="left" w:pos="2160"/>
                <w:tab w:val="left" w:pos="2520"/>
              </w:tabs>
              <w:rPr>
                <w:rFonts w:eastAsia="Times New Roman" w:cs="Times New Roman"/>
                <w:color w:val="000000"/>
              </w:rPr>
            </w:pPr>
            <w:r>
              <w:rPr>
                <w:rFonts w:eastAsia="Times New Roman" w:cs="Times New Roman"/>
                <w:color w:val="000000"/>
              </w:rPr>
              <w:t xml:space="preserve">Personal Accountability II: </w:t>
            </w:r>
            <w:r w:rsidR="007C1595">
              <w:rPr>
                <w:rFonts w:eastAsia="Times New Roman" w:cs="Times New Roman"/>
                <w:color w:val="000000"/>
              </w:rPr>
              <w:t>Increasing and Unleashing Your Personal Accountability with the Five Keys to Success at Work and Life</w:t>
            </w:r>
          </w:p>
        </w:tc>
        <w:tc>
          <w:tcPr>
            <w:tcW w:w="5040" w:type="dxa"/>
          </w:tcPr>
          <w:p w14:paraId="6CA4A9DD" w14:textId="2806E2D0" w:rsidR="001C4D04" w:rsidRPr="00E46A39" w:rsidRDefault="000D4AA6"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D4AA6">
              <w:rPr>
                <w:rFonts w:eastAsia="Times New Roman" w:cs="Times New Roman"/>
                <w:color w:val="000000"/>
              </w:rPr>
              <w:t>This course takes personal accountability to the next level, by exploring five life-success principles and shows how personal accountability can be enhanced through Learning, Ownership, Creativity, Service, and Trust.  The course not only provides concrete examples of using the five success principles, but also delves into roadblocks and obstacles that are often blind spots to excellence.</w:t>
            </w:r>
          </w:p>
        </w:tc>
      </w:tr>
      <w:tr w:rsidR="00AC3232" w14:paraId="5BC263FD"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468D9929" w14:textId="52FE1545" w:rsidR="001C4D04" w:rsidRPr="00E46A39" w:rsidRDefault="001C4D04" w:rsidP="00AC3232">
            <w:pPr>
              <w:tabs>
                <w:tab w:val="left" w:pos="1080"/>
                <w:tab w:val="left" w:pos="2160"/>
                <w:tab w:val="left" w:pos="2520"/>
              </w:tabs>
              <w:rPr>
                <w:rFonts w:eastAsia="Times New Roman" w:cs="Times New Roman"/>
                <w:color w:val="000000"/>
              </w:rPr>
            </w:pPr>
            <w:r>
              <w:rPr>
                <w:rFonts w:eastAsia="Times New Roman" w:cs="Times New Roman"/>
                <w:color w:val="000000"/>
              </w:rPr>
              <w:t>Your Leadership Brand</w:t>
            </w:r>
          </w:p>
        </w:tc>
        <w:tc>
          <w:tcPr>
            <w:tcW w:w="5040" w:type="dxa"/>
          </w:tcPr>
          <w:p w14:paraId="4139A6D7" w14:textId="130DF47E" w:rsidR="001C4D04" w:rsidRPr="00E46A39" w:rsidRDefault="00136F06"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36F06">
              <w:rPr>
                <w:rFonts w:eastAsia="Times New Roman" w:cs="Times New Roman"/>
                <w:color w:val="000000"/>
              </w:rPr>
              <w:t>Participants will learn why a leadership brand is important and needed, how to create a personal</w:t>
            </w:r>
            <w:r>
              <w:rPr>
                <w:rFonts w:eastAsia="Times New Roman" w:cs="Times New Roman"/>
                <w:color w:val="000000"/>
              </w:rPr>
              <w:t xml:space="preserve"> </w:t>
            </w:r>
            <w:r w:rsidRPr="00136F06">
              <w:rPr>
                <w:rFonts w:eastAsia="Times New Roman" w:cs="Times New Roman"/>
                <w:color w:val="000000"/>
              </w:rPr>
              <w:t>brand that is authentic and distinctive, how to align the brand with the organization’s value creating</w:t>
            </w:r>
            <w:r>
              <w:rPr>
                <w:rFonts w:eastAsia="Times New Roman" w:cs="Times New Roman"/>
                <w:color w:val="000000"/>
              </w:rPr>
              <w:t xml:space="preserve"> </w:t>
            </w:r>
            <w:r w:rsidRPr="00136F06">
              <w:rPr>
                <w:rFonts w:eastAsia="Times New Roman" w:cs="Times New Roman"/>
                <w:color w:val="000000"/>
              </w:rPr>
              <w:t>strategy, and how to manage the brand strategically.</w:t>
            </w:r>
          </w:p>
        </w:tc>
      </w:tr>
      <w:tr w:rsidR="00AC3232" w14:paraId="1A7D1647"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B82D19A" w14:textId="12959ADF" w:rsidR="001C4D04" w:rsidRPr="00E46A39" w:rsidRDefault="009E17E5" w:rsidP="00AC3232">
            <w:pPr>
              <w:tabs>
                <w:tab w:val="left" w:pos="1080"/>
                <w:tab w:val="left" w:pos="2160"/>
                <w:tab w:val="left" w:pos="2520"/>
              </w:tabs>
              <w:rPr>
                <w:rFonts w:eastAsia="Times New Roman" w:cs="Times New Roman"/>
                <w:color w:val="000000"/>
              </w:rPr>
            </w:pPr>
            <w:r>
              <w:rPr>
                <w:rFonts w:eastAsia="Times New Roman" w:cs="Times New Roman"/>
                <w:color w:val="000000"/>
              </w:rPr>
              <w:lastRenderedPageBreak/>
              <w:t>Leading Self</w:t>
            </w:r>
          </w:p>
        </w:tc>
        <w:tc>
          <w:tcPr>
            <w:tcW w:w="5040" w:type="dxa"/>
          </w:tcPr>
          <w:p w14:paraId="74AFE1F9" w14:textId="7D89CBDB" w:rsidR="001C4D04" w:rsidRPr="00E46A39" w:rsidRDefault="009E17E5"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E17E5">
              <w:rPr>
                <w:rFonts w:eastAsia="Times New Roman" w:cs="Times New Roman"/>
                <w:color w:val="000000"/>
              </w:rPr>
              <w:t>Leading Self, which covers the foundational elements of Emotional Intelligence, Leadership</w:t>
            </w:r>
            <w:r>
              <w:rPr>
                <w:rFonts w:eastAsia="Times New Roman" w:cs="Times New Roman"/>
                <w:color w:val="000000"/>
              </w:rPr>
              <w:t xml:space="preserve"> </w:t>
            </w:r>
            <w:r w:rsidRPr="009E17E5">
              <w:rPr>
                <w:rFonts w:eastAsia="Times New Roman" w:cs="Times New Roman"/>
                <w:color w:val="000000"/>
              </w:rPr>
              <w:t>Authenticity, Courageous Followership, and Personal Accountability. This is based upon the premise</w:t>
            </w:r>
            <w:r>
              <w:rPr>
                <w:rFonts w:eastAsia="Times New Roman" w:cs="Times New Roman"/>
                <w:color w:val="000000"/>
              </w:rPr>
              <w:t xml:space="preserve"> </w:t>
            </w:r>
            <w:r w:rsidRPr="009E17E5">
              <w:rPr>
                <w:rFonts w:eastAsia="Times New Roman" w:cs="Times New Roman"/>
                <w:color w:val="000000"/>
              </w:rPr>
              <w:t>that for one to exercise effective leadership, one must know themselves and lead themselves well</w:t>
            </w:r>
            <w:r>
              <w:rPr>
                <w:rFonts w:eastAsia="Times New Roman" w:cs="Times New Roman"/>
                <w:color w:val="000000"/>
              </w:rPr>
              <w:t xml:space="preserve"> </w:t>
            </w:r>
            <w:r w:rsidRPr="009E17E5">
              <w:rPr>
                <w:rFonts w:eastAsia="Times New Roman" w:cs="Times New Roman"/>
                <w:color w:val="000000"/>
              </w:rPr>
              <w:t>first.</w:t>
            </w:r>
          </w:p>
        </w:tc>
      </w:tr>
      <w:tr w:rsidR="00810FEB" w14:paraId="7EAEAA39"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47AE2E41" w14:textId="301E5295" w:rsidR="00810FEB" w:rsidRDefault="003823EC" w:rsidP="003823EC">
            <w:pPr>
              <w:tabs>
                <w:tab w:val="left" w:pos="3156"/>
              </w:tabs>
              <w:rPr>
                <w:rFonts w:eastAsia="Times New Roman" w:cs="Times New Roman"/>
                <w:color w:val="000000"/>
              </w:rPr>
            </w:pPr>
            <w:r>
              <w:rPr>
                <w:rFonts w:eastAsia="Times New Roman" w:cs="Times New Roman"/>
                <w:color w:val="000000"/>
              </w:rPr>
              <w:t>Work-Life Integration</w:t>
            </w:r>
          </w:p>
        </w:tc>
        <w:tc>
          <w:tcPr>
            <w:tcW w:w="5040" w:type="dxa"/>
          </w:tcPr>
          <w:p w14:paraId="00314EF5" w14:textId="3034D543" w:rsidR="00810FEB" w:rsidRPr="009E17E5" w:rsidRDefault="003823EC"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The course helps participants navigate</w:t>
            </w:r>
            <w:r w:rsidR="0074626D">
              <w:rPr>
                <w:rFonts w:eastAsia="Times New Roman" w:cs="Times New Roman"/>
                <w:color w:val="000000"/>
              </w:rPr>
              <w:t xml:space="preserve"> life priorities and make healthier time choices.  The course content includes: u</w:t>
            </w:r>
            <w:r w:rsidRPr="003823EC">
              <w:rPr>
                <w:rFonts w:eastAsia="Times New Roman" w:cs="Times New Roman"/>
                <w:color w:val="000000"/>
              </w:rPr>
              <w:t>nderstanding Work-Life Integration</w:t>
            </w:r>
            <w:r w:rsidR="0074626D">
              <w:rPr>
                <w:rFonts w:eastAsia="Times New Roman" w:cs="Times New Roman"/>
                <w:color w:val="000000"/>
              </w:rPr>
              <w:t>; c</w:t>
            </w:r>
            <w:r w:rsidRPr="003823EC">
              <w:rPr>
                <w:rFonts w:eastAsia="Times New Roman" w:cs="Times New Roman"/>
                <w:color w:val="000000"/>
              </w:rPr>
              <w:t xml:space="preserve">reating the office environment for balance - what do organizations and work units need to know and </w:t>
            </w:r>
            <w:proofErr w:type="gramStart"/>
            <w:r w:rsidRPr="003823EC">
              <w:rPr>
                <w:rFonts w:eastAsia="Times New Roman" w:cs="Times New Roman"/>
                <w:color w:val="000000"/>
              </w:rPr>
              <w:t>d</w:t>
            </w:r>
            <w:r w:rsidR="0074626D">
              <w:rPr>
                <w:rFonts w:eastAsia="Times New Roman" w:cs="Times New Roman"/>
                <w:color w:val="000000"/>
              </w:rPr>
              <w:t>o?;</w:t>
            </w:r>
            <w:proofErr w:type="gramEnd"/>
            <w:r w:rsidR="0074626D">
              <w:rPr>
                <w:rFonts w:eastAsia="Times New Roman" w:cs="Times New Roman"/>
                <w:color w:val="000000"/>
              </w:rPr>
              <w:t xml:space="preserve"> p</w:t>
            </w:r>
            <w:r w:rsidRPr="003823EC">
              <w:rPr>
                <w:rFonts w:eastAsia="Times New Roman" w:cs="Times New Roman"/>
                <w:color w:val="000000"/>
              </w:rPr>
              <w:t>ersonal strategies for work life integration - what can individuals do?</w:t>
            </w:r>
          </w:p>
        </w:tc>
      </w:tr>
      <w:tr w:rsidR="00F2269F" w14:paraId="41316690"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F9EBD8" w:themeFill="accent3" w:themeFillTint="33"/>
          </w:tcPr>
          <w:p w14:paraId="74E2A9E7" w14:textId="5DFD8D5E" w:rsidR="00F2269F" w:rsidRDefault="00F2269F" w:rsidP="00AC3232">
            <w:pPr>
              <w:tabs>
                <w:tab w:val="left" w:pos="1080"/>
                <w:tab w:val="left" w:pos="2160"/>
                <w:tab w:val="left" w:pos="2520"/>
              </w:tabs>
              <w:rPr>
                <w:rFonts w:eastAsia="Times New Roman" w:cs="Times New Roman"/>
                <w:color w:val="000000"/>
              </w:rPr>
            </w:pPr>
            <w:r>
              <w:rPr>
                <w:rFonts w:eastAsia="Times New Roman" w:cs="Times New Roman"/>
                <w:color w:val="000000"/>
              </w:rPr>
              <w:t xml:space="preserve">Leading </w:t>
            </w:r>
            <w:proofErr w:type="gramStart"/>
            <w:r>
              <w:rPr>
                <w:rFonts w:eastAsia="Times New Roman" w:cs="Times New Roman"/>
                <w:color w:val="000000"/>
              </w:rPr>
              <w:t>Others</w:t>
            </w:r>
            <w:proofErr w:type="gramEnd"/>
            <w:r w:rsidR="00BA6213">
              <w:rPr>
                <w:rFonts w:eastAsia="Times New Roman" w:cs="Times New Roman"/>
                <w:color w:val="000000"/>
              </w:rPr>
              <w:t xml:space="preserve"> Courses</w:t>
            </w:r>
          </w:p>
        </w:tc>
        <w:tc>
          <w:tcPr>
            <w:tcW w:w="5040" w:type="dxa"/>
            <w:shd w:val="clear" w:color="auto" w:fill="F9EBD8" w:themeFill="accent3" w:themeFillTint="33"/>
          </w:tcPr>
          <w:p w14:paraId="369D0764" w14:textId="77777777" w:rsidR="00F2269F" w:rsidRPr="00E33EAE" w:rsidRDefault="00F2269F"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1C4D04" w14:paraId="09BD8FBD"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019D2325" w14:textId="3B1A41F4" w:rsidR="001C4D04" w:rsidRDefault="009E17E5" w:rsidP="00AC3232">
            <w:pPr>
              <w:tabs>
                <w:tab w:val="left" w:pos="1080"/>
                <w:tab w:val="left" w:pos="2160"/>
                <w:tab w:val="left" w:pos="2520"/>
              </w:tabs>
              <w:rPr>
                <w:rFonts w:eastAsia="Times New Roman" w:cs="Times New Roman"/>
                <w:color w:val="000000"/>
              </w:rPr>
            </w:pPr>
            <w:r>
              <w:rPr>
                <w:rFonts w:eastAsia="Times New Roman" w:cs="Times New Roman"/>
                <w:color w:val="000000"/>
              </w:rPr>
              <w:t>Leading Others</w:t>
            </w:r>
          </w:p>
        </w:tc>
        <w:tc>
          <w:tcPr>
            <w:tcW w:w="5040" w:type="dxa"/>
          </w:tcPr>
          <w:p w14:paraId="0459F2A0" w14:textId="304F1766" w:rsidR="001C4D04" w:rsidRPr="00E46A39" w:rsidRDefault="00E33EAE"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33EAE">
              <w:rPr>
                <w:rFonts w:eastAsia="Times New Roman" w:cs="Times New Roman"/>
                <w:color w:val="000000"/>
              </w:rPr>
              <w:t>The Leading Others is on how the leader connects and interacts with other people to influence and</w:t>
            </w:r>
            <w:r w:rsidR="00E63A99">
              <w:rPr>
                <w:rFonts w:eastAsia="Times New Roman" w:cs="Times New Roman"/>
                <w:color w:val="000000"/>
              </w:rPr>
              <w:t xml:space="preserve"> </w:t>
            </w:r>
            <w:r w:rsidRPr="00E33EAE">
              <w:rPr>
                <w:rFonts w:eastAsia="Times New Roman" w:cs="Times New Roman"/>
                <w:color w:val="000000"/>
              </w:rPr>
              <w:t>guide. Topics for training include Moving from Managing to Leading, Leader as Facilitator/Coach,</w:t>
            </w:r>
            <w:r>
              <w:rPr>
                <w:rFonts w:eastAsia="Times New Roman" w:cs="Times New Roman"/>
                <w:color w:val="000000"/>
              </w:rPr>
              <w:t xml:space="preserve"> </w:t>
            </w:r>
            <w:r w:rsidRPr="00E33EAE">
              <w:rPr>
                <w:rFonts w:eastAsia="Times New Roman" w:cs="Times New Roman"/>
                <w:color w:val="000000"/>
              </w:rPr>
              <w:t>Influencing without positional authority, Employee Engagement, and Conflict Resolution. The</w:t>
            </w:r>
            <w:r>
              <w:rPr>
                <w:rFonts w:eastAsia="Times New Roman" w:cs="Times New Roman"/>
                <w:color w:val="000000"/>
              </w:rPr>
              <w:t xml:space="preserve"> </w:t>
            </w:r>
            <w:r w:rsidRPr="00E33EAE">
              <w:rPr>
                <w:rFonts w:eastAsia="Times New Roman" w:cs="Times New Roman"/>
                <w:color w:val="000000"/>
              </w:rPr>
              <w:t>training aligns to developing others and generating exceptional levels of teamwork. The course can</w:t>
            </w:r>
            <w:r>
              <w:rPr>
                <w:rFonts w:eastAsia="Times New Roman" w:cs="Times New Roman"/>
                <w:color w:val="000000"/>
              </w:rPr>
              <w:t xml:space="preserve"> </w:t>
            </w:r>
            <w:r w:rsidRPr="00E33EAE">
              <w:rPr>
                <w:rFonts w:eastAsia="Times New Roman" w:cs="Times New Roman"/>
                <w:color w:val="000000"/>
              </w:rPr>
              <w:t>be enhanced with topics including, Effective Collaboration, Dealing with Poor Performers, Effective</w:t>
            </w:r>
            <w:r>
              <w:rPr>
                <w:rFonts w:eastAsia="Times New Roman" w:cs="Times New Roman"/>
                <w:color w:val="000000"/>
              </w:rPr>
              <w:t xml:space="preserve"> </w:t>
            </w:r>
            <w:r w:rsidRPr="00E33EAE">
              <w:rPr>
                <w:rFonts w:eastAsia="Times New Roman" w:cs="Times New Roman"/>
                <w:color w:val="000000"/>
              </w:rPr>
              <w:t>Communication, Difficult Conversations, and Building Trust.</w:t>
            </w:r>
          </w:p>
        </w:tc>
      </w:tr>
      <w:tr w:rsidR="001C4D04" w14:paraId="0F46E1EE"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83FF9B1" w14:textId="12AC3389" w:rsidR="001C4D04" w:rsidRDefault="00531041" w:rsidP="00AC3232">
            <w:pPr>
              <w:tabs>
                <w:tab w:val="left" w:pos="1080"/>
                <w:tab w:val="left" w:pos="2160"/>
                <w:tab w:val="left" w:pos="2520"/>
              </w:tabs>
              <w:rPr>
                <w:rFonts w:eastAsia="Times New Roman" w:cs="Times New Roman"/>
                <w:color w:val="000000"/>
              </w:rPr>
            </w:pPr>
            <w:r>
              <w:rPr>
                <w:rFonts w:eastAsia="Times New Roman" w:cs="Times New Roman"/>
                <w:color w:val="000000"/>
              </w:rPr>
              <w:t>Leader as Coach/Facilitator</w:t>
            </w:r>
          </w:p>
        </w:tc>
        <w:tc>
          <w:tcPr>
            <w:tcW w:w="5040" w:type="dxa"/>
          </w:tcPr>
          <w:p w14:paraId="595AE66E" w14:textId="541991EA" w:rsidR="001C4D04" w:rsidRPr="00E46A39" w:rsidRDefault="00D379E9"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379E9">
              <w:rPr>
                <w:rFonts w:eastAsia="Times New Roman" w:cs="Times New Roman"/>
                <w:color w:val="000000"/>
              </w:rPr>
              <w:t>This course covers the topics of what is coaching, key coaching behaviors, active listening, how to ask</w:t>
            </w:r>
            <w:r>
              <w:rPr>
                <w:rFonts w:eastAsia="Times New Roman" w:cs="Times New Roman"/>
                <w:color w:val="000000"/>
              </w:rPr>
              <w:t xml:space="preserve"> </w:t>
            </w:r>
            <w:r w:rsidRPr="00D379E9">
              <w:rPr>
                <w:rFonts w:eastAsia="Times New Roman" w:cs="Times New Roman"/>
                <w:color w:val="000000"/>
              </w:rPr>
              <w:t>powerful questions, and the benefits of a coaching approach. The course also provides participants</w:t>
            </w:r>
            <w:r>
              <w:rPr>
                <w:rFonts w:eastAsia="Times New Roman" w:cs="Times New Roman"/>
                <w:color w:val="000000"/>
              </w:rPr>
              <w:t xml:space="preserve"> </w:t>
            </w:r>
            <w:r w:rsidRPr="00D379E9">
              <w:rPr>
                <w:rFonts w:eastAsia="Times New Roman" w:cs="Times New Roman"/>
                <w:color w:val="000000"/>
              </w:rPr>
              <w:t>with opportunities to practice coaching.</w:t>
            </w:r>
          </w:p>
        </w:tc>
      </w:tr>
      <w:tr w:rsidR="00D379E9" w14:paraId="2E99BAF3"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3A0C5991" w14:textId="2AB40B34" w:rsidR="00D379E9" w:rsidRDefault="00941586" w:rsidP="00AC3232">
            <w:pPr>
              <w:tabs>
                <w:tab w:val="left" w:pos="1080"/>
                <w:tab w:val="left" w:pos="2160"/>
                <w:tab w:val="left" w:pos="2520"/>
              </w:tabs>
              <w:rPr>
                <w:rFonts w:eastAsia="Times New Roman" w:cs="Times New Roman"/>
                <w:color w:val="000000"/>
              </w:rPr>
            </w:pPr>
            <w:r>
              <w:rPr>
                <w:rFonts w:eastAsia="Times New Roman" w:cs="Times New Roman"/>
                <w:color w:val="000000"/>
              </w:rPr>
              <w:t xml:space="preserve">Introduction to </w:t>
            </w:r>
            <w:r w:rsidR="00D379E9">
              <w:rPr>
                <w:rFonts w:eastAsia="Times New Roman" w:cs="Times New Roman"/>
                <w:color w:val="000000"/>
              </w:rPr>
              <w:t>Group Facilitation</w:t>
            </w:r>
          </w:p>
        </w:tc>
        <w:tc>
          <w:tcPr>
            <w:tcW w:w="5040" w:type="dxa"/>
          </w:tcPr>
          <w:p w14:paraId="06D4D91C" w14:textId="3E15DF23" w:rsidR="00D379E9" w:rsidRPr="00E46A39" w:rsidRDefault="00EB2843"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B2843">
              <w:rPr>
                <w:rFonts w:eastAsia="Times New Roman" w:cs="Times New Roman"/>
                <w:color w:val="000000"/>
              </w:rPr>
              <w:t>This course will provide participants with an introduction to group facilitation.  Participants will learn what facilitation is and what facilitators do.  The course also provides an overview of skills needed for planning to facilitate meetings and skills for facilitating meetings.  The course concludes with how participants can improve their facilitation skills after the course with tools and resources.</w:t>
            </w:r>
          </w:p>
        </w:tc>
      </w:tr>
      <w:tr w:rsidR="00F2269F" w14:paraId="6A956AFD"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C14D921" w14:textId="395B7E57" w:rsidR="00F2269F" w:rsidRDefault="00941586" w:rsidP="00AC3232">
            <w:pPr>
              <w:tabs>
                <w:tab w:val="left" w:pos="1080"/>
                <w:tab w:val="left" w:pos="2160"/>
                <w:tab w:val="left" w:pos="2520"/>
              </w:tabs>
              <w:rPr>
                <w:rFonts w:eastAsia="Times New Roman" w:cs="Times New Roman"/>
                <w:color w:val="000000"/>
              </w:rPr>
            </w:pPr>
            <w:r>
              <w:rPr>
                <w:rFonts w:eastAsia="Times New Roman" w:cs="Times New Roman"/>
                <w:color w:val="000000"/>
              </w:rPr>
              <w:t>Running Virtual Meetings</w:t>
            </w:r>
            <w:r w:rsidR="00091821">
              <w:rPr>
                <w:rFonts w:eastAsia="Times New Roman" w:cs="Times New Roman"/>
                <w:color w:val="000000"/>
              </w:rPr>
              <w:t>: Preparing and Leading Productive Remote Meetings</w:t>
            </w:r>
          </w:p>
        </w:tc>
        <w:tc>
          <w:tcPr>
            <w:tcW w:w="5040" w:type="dxa"/>
          </w:tcPr>
          <w:p w14:paraId="66DA9510" w14:textId="61880117" w:rsidR="00F2269F" w:rsidRPr="00E46A39" w:rsidRDefault="00BE290F"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E290F">
              <w:rPr>
                <w:rFonts w:eastAsia="Times New Roman" w:cs="Times New Roman"/>
                <w:color w:val="000000"/>
              </w:rPr>
              <w:t xml:space="preserve">In the new normal of COVID-19, virtual meetings are the way work is getting done.  This course will provide participants with best practices in planning virtual meetings, managing media technology, setting expectations for participation, and conducting the meeting.  </w:t>
            </w:r>
          </w:p>
        </w:tc>
      </w:tr>
      <w:tr w:rsidR="00BE290F" w14:paraId="6F02E78C"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7DCC7651" w14:textId="46F13359" w:rsidR="00BE290F" w:rsidRDefault="00BE290F" w:rsidP="00AC3232">
            <w:pPr>
              <w:tabs>
                <w:tab w:val="left" w:pos="1080"/>
                <w:tab w:val="left" w:pos="2160"/>
                <w:tab w:val="left" w:pos="2520"/>
              </w:tabs>
              <w:rPr>
                <w:rFonts w:eastAsia="Times New Roman" w:cs="Times New Roman"/>
                <w:color w:val="000000"/>
              </w:rPr>
            </w:pPr>
            <w:r>
              <w:rPr>
                <w:rFonts w:eastAsia="Times New Roman" w:cs="Times New Roman"/>
                <w:color w:val="000000"/>
              </w:rPr>
              <w:t>Virtual Collaboration</w:t>
            </w:r>
            <w:r w:rsidR="00091821">
              <w:rPr>
                <w:rFonts w:eastAsia="Times New Roman" w:cs="Times New Roman"/>
                <w:color w:val="000000"/>
              </w:rPr>
              <w:t>: Building Productive Relationships, Fostering Initiative, and Reducing Isolation</w:t>
            </w:r>
          </w:p>
        </w:tc>
        <w:tc>
          <w:tcPr>
            <w:tcW w:w="5040" w:type="dxa"/>
          </w:tcPr>
          <w:p w14:paraId="27E3F38B" w14:textId="22F78762" w:rsidR="00BE290F" w:rsidRPr="00BE290F" w:rsidRDefault="00512400"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12400">
              <w:rPr>
                <w:rFonts w:eastAsia="Times New Roman" w:cs="Times New Roman"/>
                <w:color w:val="000000"/>
              </w:rPr>
              <w:t xml:space="preserve">Working virtually can be excellent for the individual contributor, but what happens when there is a need to work together as a team from different locations?  Whether it is from operations spread across the county, </w:t>
            </w:r>
            <w:r w:rsidRPr="00512400">
              <w:rPr>
                <w:rFonts w:eastAsia="Times New Roman" w:cs="Times New Roman"/>
                <w:color w:val="000000"/>
              </w:rPr>
              <w:lastRenderedPageBreak/>
              <w:t>country, or globe, being able to collaborate in a virtual environment is quickly becoming a non-negotiable 21st century skill.  This course will provide participants with best practices in planning virtual meetings, managing media technology, setting expectations for participation, and conducting the meeting.</w:t>
            </w:r>
          </w:p>
        </w:tc>
      </w:tr>
      <w:tr w:rsidR="00512400" w14:paraId="4FEB71DD"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40089DD" w14:textId="11F30E3C" w:rsidR="00512400" w:rsidRDefault="00512400" w:rsidP="00AC3232">
            <w:pPr>
              <w:tabs>
                <w:tab w:val="left" w:pos="1080"/>
                <w:tab w:val="left" w:pos="2160"/>
                <w:tab w:val="left" w:pos="2520"/>
              </w:tabs>
              <w:rPr>
                <w:rFonts w:eastAsia="Times New Roman" w:cs="Times New Roman"/>
                <w:color w:val="000000"/>
              </w:rPr>
            </w:pPr>
            <w:r>
              <w:rPr>
                <w:rFonts w:eastAsia="Times New Roman" w:cs="Times New Roman"/>
                <w:color w:val="000000"/>
              </w:rPr>
              <w:lastRenderedPageBreak/>
              <w:t>Leading Virtual Teams: Building Trust, Encouraging Collaboration, and Holding People Accountable Remotely</w:t>
            </w:r>
          </w:p>
        </w:tc>
        <w:tc>
          <w:tcPr>
            <w:tcW w:w="5040" w:type="dxa"/>
          </w:tcPr>
          <w:p w14:paraId="63B5C8F6" w14:textId="6DF7F543" w:rsidR="00512400" w:rsidRPr="00512400" w:rsidRDefault="00BA6213"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BA6213">
              <w:rPr>
                <w:rFonts w:eastAsia="Times New Roman" w:cs="Times New Roman"/>
                <w:color w:val="000000"/>
              </w:rPr>
              <w:t>Just because you don’t see someone everyday doesn’t mean the complexity of leadership is diminished.  Working in a remote environment increases the attention a leader must put toward achieving successful outcomes.  This course provides participants with best practices to:  ensure you have the right mix of skills and abilities on your team for remote work; assess and meet your team’s technology needs; clarify goals, processes and norms you’ll use to communicate and collaborate; regulate the myriad of messages and media that enable your team members to work together; keep people motivated, engaged and accountable despite the distance; and surface and resolve conflict when you are unable to see how people are interacting together.</w:t>
            </w:r>
          </w:p>
        </w:tc>
      </w:tr>
      <w:tr w:rsidR="002A7CD7" w14:paraId="04A9548C" w14:textId="77777777" w:rsidTr="00AC3232">
        <w:tc>
          <w:tcPr>
            <w:cnfStyle w:val="001000000000" w:firstRow="0" w:lastRow="0" w:firstColumn="1" w:lastColumn="0" w:oddVBand="0" w:evenVBand="0" w:oddHBand="0" w:evenHBand="0" w:firstRowFirstColumn="0" w:firstRowLastColumn="0" w:lastRowFirstColumn="0" w:lastRowLastColumn="0"/>
            <w:tcW w:w="4315" w:type="dxa"/>
            <w:shd w:val="clear" w:color="auto" w:fill="F9EBD8" w:themeFill="accent3" w:themeFillTint="33"/>
          </w:tcPr>
          <w:p w14:paraId="569D9B60" w14:textId="7CF656A8" w:rsidR="002A7CD7" w:rsidRDefault="002A7CD7" w:rsidP="00AC3232">
            <w:pPr>
              <w:tabs>
                <w:tab w:val="left" w:pos="1080"/>
                <w:tab w:val="left" w:pos="2160"/>
                <w:tab w:val="left" w:pos="2520"/>
              </w:tabs>
              <w:rPr>
                <w:rFonts w:eastAsia="Times New Roman" w:cs="Times New Roman"/>
                <w:color w:val="000000"/>
              </w:rPr>
            </w:pPr>
            <w:r>
              <w:rPr>
                <w:rFonts w:eastAsia="Times New Roman" w:cs="Times New Roman"/>
                <w:color w:val="000000"/>
              </w:rPr>
              <w:t>Leading the Organization</w:t>
            </w:r>
          </w:p>
        </w:tc>
        <w:tc>
          <w:tcPr>
            <w:tcW w:w="5040" w:type="dxa"/>
            <w:shd w:val="clear" w:color="auto" w:fill="F9EBD8" w:themeFill="accent3" w:themeFillTint="33"/>
          </w:tcPr>
          <w:p w14:paraId="775EA33D" w14:textId="77777777" w:rsidR="002A7CD7" w:rsidRPr="00E46A39" w:rsidRDefault="002A7CD7"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2A7CD7" w14:paraId="63A6E165"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A632A1E" w14:textId="3CBAC441" w:rsidR="002A7CD7" w:rsidRDefault="005B6DB6" w:rsidP="00AC3232">
            <w:pPr>
              <w:tabs>
                <w:tab w:val="left" w:pos="1080"/>
                <w:tab w:val="left" w:pos="2160"/>
                <w:tab w:val="left" w:pos="2520"/>
              </w:tabs>
              <w:rPr>
                <w:rFonts w:eastAsia="Times New Roman" w:cs="Times New Roman"/>
                <w:color w:val="000000"/>
              </w:rPr>
            </w:pPr>
            <w:r>
              <w:rPr>
                <w:rFonts w:eastAsia="Times New Roman" w:cs="Times New Roman"/>
                <w:color w:val="000000"/>
              </w:rPr>
              <w:t>Leading Change and Transition</w:t>
            </w:r>
          </w:p>
        </w:tc>
        <w:tc>
          <w:tcPr>
            <w:tcW w:w="5040" w:type="dxa"/>
          </w:tcPr>
          <w:p w14:paraId="095381CA" w14:textId="3844F0C7" w:rsidR="002A7CD7" w:rsidRPr="00E46A39" w:rsidRDefault="00EC2034"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T</w:t>
            </w:r>
            <w:r w:rsidRPr="00EC2034">
              <w:rPr>
                <w:rFonts w:eastAsia="Times New Roman" w:cs="Times New Roman"/>
                <w:color w:val="000000"/>
              </w:rPr>
              <w:t>his course is about Leading Change and Culture. As two of the most essential elements to</w:t>
            </w:r>
            <w:r>
              <w:rPr>
                <w:rFonts w:eastAsia="Times New Roman" w:cs="Times New Roman"/>
                <w:color w:val="000000"/>
              </w:rPr>
              <w:t xml:space="preserve"> </w:t>
            </w:r>
            <w:r w:rsidRPr="00EC2034">
              <w:rPr>
                <w:rFonts w:eastAsia="Times New Roman" w:cs="Times New Roman"/>
                <w:color w:val="000000"/>
              </w:rPr>
              <w:t>leadership, we provide participants with information and tools to focus on the essential elements of</w:t>
            </w:r>
            <w:r>
              <w:rPr>
                <w:rFonts w:eastAsia="Times New Roman" w:cs="Times New Roman"/>
                <w:color w:val="000000"/>
              </w:rPr>
              <w:t xml:space="preserve"> </w:t>
            </w:r>
            <w:r w:rsidRPr="00EC2034">
              <w:rPr>
                <w:rFonts w:eastAsia="Times New Roman" w:cs="Times New Roman"/>
                <w:color w:val="000000"/>
              </w:rPr>
              <w:t>successful change, leading change for the organization, the individual, and the emotional transition,</w:t>
            </w:r>
            <w:r>
              <w:rPr>
                <w:rFonts w:eastAsia="Times New Roman" w:cs="Times New Roman"/>
                <w:color w:val="000000"/>
              </w:rPr>
              <w:t xml:space="preserve"> </w:t>
            </w:r>
            <w:r w:rsidRPr="00EC2034">
              <w:rPr>
                <w:rFonts w:eastAsia="Times New Roman" w:cs="Times New Roman"/>
                <w:color w:val="000000"/>
              </w:rPr>
              <w:t>and understanding how to move an organization to a desired culture.</w:t>
            </w:r>
          </w:p>
        </w:tc>
      </w:tr>
      <w:tr w:rsidR="002A7CD7" w14:paraId="2D42FE56"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442C63BA" w14:textId="6AA7FCB4" w:rsidR="002A7CD7" w:rsidRDefault="00E35E03" w:rsidP="00AC3232">
            <w:pPr>
              <w:tabs>
                <w:tab w:val="left" w:pos="1080"/>
                <w:tab w:val="left" w:pos="2160"/>
                <w:tab w:val="left" w:pos="2520"/>
              </w:tabs>
              <w:rPr>
                <w:rFonts w:eastAsia="Times New Roman" w:cs="Times New Roman"/>
                <w:color w:val="000000"/>
              </w:rPr>
            </w:pPr>
            <w:r>
              <w:rPr>
                <w:rFonts w:eastAsia="Times New Roman" w:cs="Times New Roman"/>
                <w:color w:val="000000"/>
              </w:rPr>
              <w:t>Leading Generations</w:t>
            </w:r>
          </w:p>
        </w:tc>
        <w:tc>
          <w:tcPr>
            <w:tcW w:w="5040" w:type="dxa"/>
          </w:tcPr>
          <w:p w14:paraId="75FAB01B" w14:textId="4454A2DC" w:rsidR="002A7CD7" w:rsidRPr="00E46A39" w:rsidRDefault="00E35E03"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E35E03">
              <w:rPr>
                <w:rFonts w:eastAsia="Times New Roman" w:cs="Times New Roman"/>
                <w:color w:val="000000"/>
              </w:rPr>
              <w:t>This course focuses on the multiple generation workforce, with an overview of the generations,</w:t>
            </w:r>
            <w:r>
              <w:rPr>
                <w:rFonts w:eastAsia="Times New Roman" w:cs="Times New Roman"/>
                <w:color w:val="000000"/>
              </w:rPr>
              <w:t xml:space="preserve"> </w:t>
            </w:r>
            <w:r w:rsidRPr="00E35E03">
              <w:rPr>
                <w:rFonts w:eastAsia="Times New Roman" w:cs="Times New Roman"/>
                <w:color w:val="000000"/>
              </w:rPr>
              <w:t>discussions of values and behaviors attributed to different generations, interaction between</w:t>
            </w:r>
            <w:r>
              <w:rPr>
                <w:rFonts w:eastAsia="Times New Roman" w:cs="Times New Roman"/>
                <w:color w:val="000000"/>
              </w:rPr>
              <w:t xml:space="preserve"> </w:t>
            </w:r>
            <w:r w:rsidRPr="00E35E03">
              <w:rPr>
                <w:rFonts w:eastAsia="Times New Roman" w:cs="Times New Roman"/>
                <w:color w:val="000000"/>
              </w:rPr>
              <w:t>generations and what generations expect from leadership.</w:t>
            </w:r>
          </w:p>
        </w:tc>
      </w:tr>
      <w:tr w:rsidR="00F249EE" w14:paraId="1F824B9B"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B3A1587" w14:textId="4520BBB6" w:rsidR="00F249EE" w:rsidRDefault="009E5BF3" w:rsidP="00AC3232">
            <w:pPr>
              <w:tabs>
                <w:tab w:val="left" w:pos="1080"/>
                <w:tab w:val="left" w:pos="2160"/>
                <w:tab w:val="left" w:pos="2520"/>
              </w:tabs>
              <w:rPr>
                <w:rFonts w:eastAsia="Times New Roman" w:cs="Times New Roman"/>
                <w:color w:val="000000"/>
              </w:rPr>
            </w:pPr>
            <w:r w:rsidRPr="009E5BF3">
              <w:rPr>
                <w:rFonts w:eastAsia="Times New Roman" w:cs="Times New Roman"/>
                <w:color w:val="000000"/>
              </w:rPr>
              <w:t>Developing Healthy Communities, Organizations and Teams: Integrating Wellness into Your Strategy and Operations</w:t>
            </w:r>
          </w:p>
        </w:tc>
        <w:tc>
          <w:tcPr>
            <w:tcW w:w="5040" w:type="dxa"/>
          </w:tcPr>
          <w:p w14:paraId="2E58CB76" w14:textId="7D4D0BF9" w:rsidR="00F249EE" w:rsidRPr="00E35E03" w:rsidRDefault="003F4BD8"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F4BD8">
              <w:rPr>
                <w:rFonts w:eastAsia="Times New Roman" w:cs="Times New Roman"/>
                <w:color w:val="000000"/>
              </w:rPr>
              <w:t xml:space="preserve">If given an opportunity, people want to work in or with their “ideal” organization.  Yet too many organizations are filled with toxicity and trauma.  Unhealthy organizations create painful processes that lead to frustration, failed attempts, or </w:t>
            </w:r>
            <w:proofErr w:type="spellStart"/>
            <w:proofErr w:type="gramStart"/>
            <w:r w:rsidRPr="003F4BD8">
              <w:rPr>
                <w:rFonts w:eastAsia="Times New Roman" w:cs="Times New Roman"/>
                <w:color w:val="000000"/>
              </w:rPr>
              <w:t>a</w:t>
            </w:r>
            <w:proofErr w:type="spellEnd"/>
            <w:proofErr w:type="gramEnd"/>
            <w:r w:rsidRPr="003F4BD8">
              <w:rPr>
                <w:rFonts w:eastAsia="Times New Roman" w:cs="Times New Roman"/>
                <w:color w:val="000000"/>
              </w:rPr>
              <w:t xml:space="preserve"> expensive doorstops.  Healthy organizations, on the other hand identify options and alternatives to better meet the needs of their customers, stakeholders and workforce and can help transform organizational cultures. This presentation provides an overview of critical success factors needed for successful, simplified planning and operations process that incorporates inclusion and wellness to drive organizational outcomes that are both aspirational and actionable. Utilizing the successful process used in organizations </w:t>
            </w:r>
            <w:r w:rsidRPr="003F4BD8">
              <w:rPr>
                <w:rFonts w:eastAsia="Times New Roman" w:cs="Times New Roman"/>
                <w:color w:val="000000"/>
              </w:rPr>
              <w:lastRenderedPageBreak/>
              <w:t>ranging from Federal agencies to a senior living community, as case studies, and supplementing with other real-world examples, the presenter will engage the audience with how planning can improve organizational health through an inclusive, transparent process that integrates wellness throughout.</w:t>
            </w:r>
          </w:p>
        </w:tc>
      </w:tr>
    </w:tbl>
    <w:p w14:paraId="02D644A2" w14:textId="38DE1F70" w:rsidR="004A4F05" w:rsidRPr="001C4D04" w:rsidRDefault="00471836" w:rsidP="001C4D04">
      <w:pPr>
        <w:tabs>
          <w:tab w:val="left" w:pos="1080"/>
          <w:tab w:val="left" w:pos="2160"/>
          <w:tab w:val="left" w:pos="2520"/>
        </w:tabs>
        <w:rPr>
          <w:rFonts w:eastAsia="Times New Roman" w:cs="Times New Roman"/>
          <w:color w:val="000000"/>
        </w:rPr>
      </w:pPr>
      <w:r>
        <w:rPr>
          <w:rFonts w:eastAsia="Times New Roman" w:cs="Times New Roman"/>
          <w:color w:val="000000"/>
        </w:rPr>
        <w:lastRenderedPageBreak/>
        <w:t>IMPACT Paradigm Associate separates its leadership courses in strategy and strategy development into a separate category of training, due to the expertise we bring.</w:t>
      </w:r>
    </w:p>
    <w:p w14:paraId="7F5AB976" w14:textId="77777777" w:rsidR="00965A22" w:rsidRDefault="00965A22">
      <w:pPr>
        <w:rPr>
          <w:rFonts w:eastAsia="Times New Roman"/>
          <w:caps/>
          <w:color w:val="FFFFFF" w:themeColor="background1"/>
          <w:spacing w:val="15"/>
          <w:sz w:val="22"/>
          <w:szCs w:val="22"/>
        </w:rPr>
      </w:pPr>
      <w:r>
        <w:rPr>
          <w:rFonts w:eastAsia="Times New Roman"/>
        </w:rPr>
        <w:br w:type="page"/>
      </w:r>
    </w:p>
    <w:p w14:paraId="37342F76" w14:textId="00DB7D18" w:rsidR="00175456" w:rsidRPr="00BF7FA7" w:rsidRDefault="00175456" w:rsidP="00016FD3">
      <w:pPr>
        <w:pStyle w:val="Heading1"/>
        <w:rPr>
          <w:rFonts w:eastAsia="Times New Roman"/>
        </w:rPr>
      </w:pPr>
      <w:bookmarkStart w:id="3" w:name="_Toc79495199"/>
      <w:r w:rsidRPr="00BF7FA7">
        <w:rPr>
          <w:rFonts w:eastAsia="Times New Roman"/>
        </w:rPr>
        <w:lastRenderedPageBreak/>
        <w:t>Strategy</w:t>
      </w:r>
      <w:r w:rsidR="001E6D2F">
        <w:rPr>
          <w:rFonts w:eastAsia="Times New Roman"/>
        </w:rPr>
        <w:t>,</w:t>
      </w:r>
      <w:r w:rsidRPr="00BF7FA7">
        <w:rPr>
          <w:rFonts w:eastAsia="Times New Roman"/>
        </w:rPr>
        <w:t xml:space="preserve"> Planning and Communication</w:t>
      </w:r>
      <w:bookmarkEnd w:id="3"/>
    </w:p>
    <w:p w14:paraId="0DA1A87B" w14:textId="456A59A9" w:rsidR="00016FD3" w:rsidRPr="00016FD3" w:rsidRDefault="00016FD3" w:rsidP="001B218A">
      <w:pPr>
        <w:tabs>
          <w:tab w:val="left" w:pos="1080"/>
          <w:tab w:val="left" w:pos="2160"/>
          <w:tab w:val="left" w:pos="2520"/>
        </w:tabs>
        <w:rPr>
          <w:rFonts w:eastAsia="Times New Roman" w:cs="Times New Roman"/>
          <w:color w:val="000000"/>
        </w:rPr>
      </w:pPr>
      <w:r>
        <w:rPr>
          <w:rFonts w:eastAsia="Times New Roman"/>
          <w:noProof/>
        </w:rPr>
        <w:drawing>
          <wp:anchor distT="0" distB="0" distL="114300" distR="114300" simplePos="0" relativeHeight="251669504" behindDoc="0" locked="0" layoutInCell="1" allowOverlap="1" wp14:anchorId="20387412" wp14:editId="1A88856B">
            <wp:simplePos x="0" y="0"/>
            <wp:positionH relativeFrom="margin">
              <wp:align>right</wp:align>
            </wp:positionH>
            <wp:positionV relativeFrom="paragraph">
              <wp:posOffset>123825</wp:posOffset>
            </wp:positionV>
            <wp:extent cx="3022600" cy="15163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1516380"/>
                    </a:xfrm>
                    <a:prstGeom prst="rect">
                      <a:avLst/>
                    </a:prstGeom>
                    <a:noFill/>
                  </pic:spPr>
                </pic:pic>
              </a:graphicData>
            </a:graphic>
            <wp14:sizeRelH relativeFrom="page">
              <wp14:pctWidth>0</wp14:pctWidth>
            </wp14:sizeRelH>
            <wp14:sizeRelV relativeFrom="page">
              <wp14:pctHeight>0</wp14:pctHeight>
            </wp14:sizeRelV>
          </wp:anchor>
        </w:drawing>
      </w:r>
      <w:r w:rsidR="001757EE">
        <w:rPr>
          <w:rFonts w:eastAsia="Times New Roman" w:cs="Times New Roman"/>
          <w:color w:val="000000"/>
        </w:rPr>
        <w:t>The series of courses on strategy, planning, and communication provides participants with focused information and practice on how to develop a vision for a desired future, engage people to come along, and to ensure clarity of purpose.</w:t>
      </w:r>
    </w:p>
    <w:p w14:paraId="7C34B81A" w14:textId="77777777" w:rsidR="00016FD3" w:rsidRPr="00016FD3" w:rsidRDefault="00016FD3" w:rsidP="00016FD3">
      <w:pPr>
        <w:tabs>
          <w:tab w:val="left" w:pos="1080"/>
          <w:tab w:val="left" w:pos="2160"/>
          <w:tab w:val="left" w:pos="2520"/>
        </w:tabs>
        <w:ind w:left="3960"/>
        <w:rPr>
          <w:rFonts w:eastAsia="Times New Roman" w:cs="Times New Roman"/>
          <w:color w:val="000000"/>
        </w:rPr>
      </w:pPr>
    </w:p>
    <w:p w14:paraId="68AFB27A" w14:textId="1B8403C9" w:rsidR="00016FD3" w:rsidRDefault="00016FD3" w:rsidP="00397E38">
      <w:pPr>
        <w:tabs>
          <w:tab w:val="left" w:pos="1080"/>
          <w:tab w:val="left" w:pos="2160"/>
          <w:tab w:val="left" w:pos="2520"/>
        </w:tabs>
        <w:rPr>
          <w:rFonts w:eastAsia="Times New Roman" w:cs="Times New Roman"/>
          <w:color w:val="000000"/>
        </w:rPr>
      </w:pPr>
    </w:p>
    <w:tbl>
      <w:tblPr>
        <w:tblStyle w:val="GridTable4-Accent1"/>
        <w:tblW w:w="9355" w:type="dxa"/>
        <w:tblLook w:val="04A0" w:firstRow="1" w:lastRow="0" w:firstColumn="1" w:lastColumn="0" w:noHBand="0" w:noVBand="1"/>
      </w:tblPr>
      <w:tblGrid>
        <w:gridCol w:w="4315"/>
        <w:gridCol w:w="5040"/>
      </w:tblGrid>
      <w:tr w:rsidR="00083A8A" w:rsidRPr="00E46A39" w14:paraId="34F5CAA7" w14:textId="77777777" w:rsidTr="00AC3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08A564A" w14:textId="77777777" w:rsidR="00083A8A" w:rsidRDefault="00083A8A" w:rsidP="00AC3232">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Course Title</w:t>
            </w:r>
          </w:p>
        </w:tc>
        <w:tc>
          <w:tcPr>
            <w:tcW w:w="5040" w:type="dxa"/>
          </w:tcPr>
          <w:p w14:paraId="561D1685" w14:textId="77777777" w:rsidR="00083A8A" w:rsidRPr="00E46A39" w:rsidRDefault="00083A8A" w:rsidP="00AC3232">
            <w:pPr>
              <w:tabs>
                <w:tab w:val="left" w:pos="1080"/>
                <w:tab w:val="left" w:pos="2160"/>
                <w:tab w:val="left" w:pos="2520"/>
              </w:tab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46A39">
              <w:rPr>
                <w:rFonts w:eastAsia="Times New Roman" w:cs="Times New Roman"/>
                <w:color w:val="000000"/>
              </w:rPr>
              <w:t>Course Description</w:t>
            </w:r>
          </w:p>
        </w:tc>
      </w:tr>
      <w:tr w:rsidR="00083A8A" w:rsidRPr="00E46A39" w14:paraId="7996E81A"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F039684" w14:textId="02B65116" w:rsidR="00083A8A" w:rsidRPr="00E46A39" w:rsidRDefault="00083A8A" w:rsidP="00AC3232">
            <w:pPr>
              <w:pStyle w:val="ListParagraph"/>
              <w:tabs>
                <w:tab w:val="left" w:pos="1080"/>
                <w:tab w:val="left" w:pos="2160"/>
                <w:tab w:val="left" w:pos="2520"/>
              </w:tabs>
              <w:ind w:left="0"/>
              <w:rPr>
                <w:rFonts w:eastAsia="Times New Roman" w:cs="Times New Roman"/>
                <w:color w:val="000000"/>
                <w:sz w:val="20"/>
                <w:szCs w:val="20"/>
              </w:rPr>
            </w:pPr>
            <w:r>
              <w:rPr>
                <w:rFonts w:eastAsia="Times New Roman" w:cs="Times New Roman"/>
                <w:color w:val="000000"/>
                <w:sz w:val="20"/>
                <w:szCs w:val="20"/>
              </w:rPr>
              <w:t>Futures Intelligence</w:t>
            </w:r>
          </w:p>
        </w:tc>
        <w:tc>
          <w:tcPr>
            <w:tcW w:w="5040" w:type="dxa"/>
          </w:tcPr>
          <w:p w14:paraId="27B22DE1" w14:textId="03432AEC" w:rsidR="00083A8A" w:rsidRPr="00E46A39" w:rsidRDefault="008A7CB8"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The</w:t>
            </w:r>
            <w:r w:rsidRPr="008A7CB8">
              <w:rPr>
                <w:rFonts w:eastAsia="Times New Roman" w:cs="Times New Roman"/>
                <w:color w:val="000000"/>
              </w:rPr>
              <w:t xml:space="preserve"> course focuses on how to use futures-based knowledge to inform your decision-making, planning, strategy, and innovation processes about coming changes, challenges, and opportunities.  It is an essential foundation of being a strategic thinker.  The course provides an overview of several types of futures categories equipping participants with the terms and concepts to better understand possible, plausible, and probable futures.  The course also covers how participants can begin to produce futures intelligence for their own work to be able to adapt successfully to an a volatile, uncertain, complex, and ambiguous world.  </w:t>
            </w:r>
          </w:p>
        </w:tc>
      </w:tr>
      <w:tr w:rsidR="00083A8A" w:rsidRPr="00E46A39" w14:paraId="788BF9AB"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2D5325B5" w14:textId="5CE2993F" w:rsidR="00083A8A" w:rsidRPr="00E46A39" w:rsidRDefault="00083A8A" w:rsidP="00AC3232">
            <w:pPr>
              <w:tabs>
                <w:tab w:val="left" w:pos="1080"/>
                <w:tab w:val="left" w:pos="2160"/>
                <w:tab w:val="left" w:pos="2520"/>
              </w:tabs>
              <w:rPr>
                <w:rFonts w:eastAsia="Times New Roman" w:cs="Times New Roman"/>
                <w:color w:val="000000"/>
              </w:rPr>
            </w:pPr>
            <w:r>
              <w:rPr>
                <w:rFonts w:eastAsia="Times New Roman" w:cs="Times New Roman"/>
                <w:color w:val="000000"/>
              </w:rPr>
              <w:t>Strategic Foresight</w:t>
            </w:r>
          </w:p>
        </w:tc>
        <w:tc>
          <w:tcPr>
            <w:tcW w:w="5040" w:type="dxa"/>
          </w:tcPr>
          <w:p w14:paraId="69DA58C2" w14:textId="281B0C27" w:rsidR="00083A8A" w:rsidRPr="00D362D9" w:rsidRDefault="00BD3C22" w:rsidP="00AC3232">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bCs/>
                <w:color w:val="222222"/>
              </w:rPr>
            </w:pPr>
            <w:r>
              <w:rPr>
                <w:rFonts w:eastAsia="Times New Roman" w:cs="Arial"/>
                <w:bCs/>
                <w:color w:val="222222"/>
              </w:rPr>
              <w:t>The course</w:t>
            </w:r>
            <w:r w:rsidRPr="00E94A5E">
              <w:rPr>
                <w:rFonts w:eastAsia="Times New Roman" w:cs="Arial"/>
                <w:bCs/>
                <w:color w:val="222222"/>
              </w:rPr>
              <w:t xml:space="preserve"> </w:t>
            </w:r>
            <w:r>
              <w:rPr>
                <w:rFonts w:eastAsia="Times New Roman" w:cs="Arial"/>
                <w:bCs/>
                <w:color w:val="222222"/>
              </w:rPr>
              <w:t xml:space="preserve">provides an introductory overview of Strategic Foresight, to broaden and activate participants’ strategic thinking abilities to learn from the future.  Foresight is a human capacity which allows people to </w:t>
            </w:r>
            <w:r w:rsidRPr="0088226D">
              <w:rPr>
                <w:rFonts w:eastAsia="Times New Roman" w:cs="Arial"/>
                <w:bCs/>
                <w:color w:val="222222"/>
              </w:rPr>
              <w:t>think ahead and consider, model, create, and respond to future eventualities.</w:t>
            </w:r>
            <w:r>
              <w:rPr>
                <w:rFonts w:eastAsia="Times New Roman" w:cs="Arial"/>
                <w:bCs/>
                <w:color w:val="222222"/>
              </w:rPr>
              <w:t xml:space="preserve">  The webinar will cover topics related to principles of foresight, how strategic foresight aligns with strategic thinking, scenario planning, and strategic planning, types of futures, and methods for studying the future.  </w:t>
            </w:r>
          </w:p>
        </w:tc>
      </w:tr>
      <w:tr w:rsidR="00083A8A" w:rsidRPr="00E46A39" w14:paraId="220322D8"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CF6043E" w14:textId="2F719BB4" w:rsidR="00083A8A" w:rsidRPr="00E46A39" w:rsidRDefault="00083A8A" w:rsidP="00AC3232">
            <w:pPr>
              <w:tabs>
                <w:tab w:val="left" w:pos="1080"/>
                <w:tab w:val="left" w:pos="2160"/>
                <w:tab w:val="left" w:pos="2520"/>
              </w:tabs>
              <w:rPr>
                <w:rFonts w:eastAsia="Times New Roman" w:cs="Times New Roman"/>
                <w:color w:val="000000"/>
              </w:rPr>
            </w:pPr>
            <w:r>
              <w:rPr>
                <w:rFonts w:eastAsia="Times New Roman" w:cs="Times New Roman"/>
                <w:color w:val="000000"/>
              </w:rPr>
              <w:t>Scenario-Based Planning</w:t>
            </w:r>
          </w:p>
        </w:tc>
        <w:tc>
          <w:tcPr>
            <w:tcW w:w="5040" w:type="dxa"/>
          </w:tcPr>
          <w:p w14:paraId="750D8062" w14:textId="258999EF" w:rsidR="00083A8A" w:rsidRPr="00E46A39" w:rsidRDefault="00734E85" w:rsidP="00AC32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34E85">
              <w:rPr>
                <w:rFonts w:eastAsia="Times New Roman" w:cs="Times New Roman"/>
                <w:color w:val="000000"/>
              </w:rPr>
              <w:t xml:space="preserve">This 3-part course will provide a structured approach to strategic thinking and </w:t>
            </w:r>
            <w:r w:rsidR="00F80606" w:rsidRPr="00734E85">
              <w:rPr>
                <w:rFonts w:eastAsia="Times New Roman" w:cs="Times New Roman"/>
                <w:color w:val="000000"/>
              </w:rPr>
              <w:t>decision-making and</w:t>
            </w:r>
            <w:r w:rsidRPr="00734E85">
              <w:rPr>
                <w:rFonts w:eastAsia="Times New Roman" w:cs="Times New Roman"/>
                <w:color w:val="000000"/>
              </w:rPr>
              <w:t xml:space="preserve"> demonstrate the use of scenario planning as a useful technique in planning and navigating an organization's future in complex and uncertain environments.  Participants will receive practical experience of scenario planning techniques through applying the concepts to their own work.</w:t>
            </w:r>
          </w:p>
        </w:tc>
      </w:tr>
      <w:tr w:rsidR="00083A8A" w:rsidRPr="00E46A39" w14:paraId="2E5ABB7A"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6D5C7A07" w14:textId="521C24E7" w:rsidR="00083A8A" w:rsidRPr="00E46A39" w:rsidRDefault="00083A8A" w:rsidP="00AC3232">
            <w:pPr>
              <w:tabs>
                <w:tab w:val="left" w:pos="1080"/>
                <w:tab w:val="left" w:pos="2160"/>
                <w:tab w:val="left" w:pos="2520"/>
              </w:tabs>
              <w:rPr>
                <w:rFonts w:eastAsia="Times New Roman" w:cs="Times New Roman"/>
                <w:color w:val="000000"/>
              </w:rPr>
            </w:pPr>
            <w:r>
              <w:rPr>
                <w:rFonts w:eastAsia="Times New Roman" w:cs="Times New Roman"/>
                <w:color w:val="000000"/>
              </w:rPr>
              <w:t>Strategic Planning</w:t>
            </w:r>
          </w:p>
        </w:tc>
        <w:tc>
          <w:tcPr>
            <w:tcW w:w="5040" w:type="dxa"/>
          </w:tcPr>
          <w:p w14:paraId="0FC25C47" w14:textId="77777777" w:rsidR="00083A8A" w:rsidRPr="00E46A39" w:rsidRDefault="00083A8A"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E17E5">
              <w:rPr>
                <w:rFonts w:eastAsia="Times New Roman" w:cs="Times New Roman"/>
                <w:color w:val="000000"/>
              </w:rPr>
              <w:t>Leading Self, which covers the foundational elements of Emotional Intelligence, Leadership</w:t>
            </w:r>
            <w:r>
              <w:rPr>
                <w:rFonts w:eastAsia="Times New Roman" w:cs="Times New Roman"/>
                <w:color w:val="000000"/>
              </w:rPr>
              <w:t xml:space="preserve"> </w:t>
            </w:r>
            <w:r w:rsidRPr="009E17E5">
              <w:rPr>
                <w:rFonts w:eastAsia="Times New Roman" w:cs="Times New Roman"/>
                <w:color w:val="000000"/>
              </w:rPr>
              <w:t>Authenticity, Courageous Followership, and Personal Accountability. This is based upon the premise</w:t>
            </w:r>
            <w:r>
              <w:rPr>
                <w:rFonts w:eastAsia="Times New Roman" w:cs="Times New Roman"/>
                <w:color w:val="000000"/>
              </w:rPr>
              <w:t xml:space="preserve"> </w:t>
            </w:r>
            <w:r w:rsidRPr="009E17E5">
              <w:rPr>
                <w:rFonts w:eastAsia="Times New Roman" w:cs="Times New Roman"/>
                <w:color w:val="000000"/>
              </w:rPr>
              <w:t xml:space="preserve">that for one to exercise </w:t>
            </w:r>
            <w:r w:rsidRPr="009E17E5">
              <w:rPr>
                <w:rFonts w:eastAsia="Times New Roman" w:cs="Times New Roman"/>
                <w:color w:val="000000"/>
              </w:rPr>
              <w:lastRenderedPageBreak/>
              <w:t>effective leadership, one must know themselves and lead themselves well</w:t>
            </w:r>
            <w:r>
              <w:rPr>
                <w:rFonts w:eastAsia="Times New Roman" w:cs="Times New Roman"/>
                <w:color w:val="000000"/>
              </w:rPr>
              <w:t xml:space="preserve"> </w:t>
            </w:r>
            <w:r w:rsidRPr="009E17E5">
              <w:rPr>
                <w:rFonts w:eastAsia="Times New Roman" w:cs="Times New Roman"/>
                <w:color w:val="000000"/>
              </w:rPr>
              <w:t>first.</w:t>
            </w:r>
          </w:p>
        </w:tc>
      </w:tr>
      <w:tr w:rsidR="00E9691D" w:rsidRPr="00E46A39" w14:paraId="0AA7A722"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A226B27" w14:textId="2684F8FD" w:rsidR="00E9691D" w:rsidRDefault="00E9691D" w:rsidP="00AC3232">
            <w:pPr>
              <w:tabs>
                <w:tab w:val="left" w:pos="1080"/>
                <w:tab w:val="left" w:pos="2160"/>
                <w:tab w:val="left" w:pos="2520"/>
              </w:tabs>
              <w:rPr>
                <w:rFonts w:eastAsia="Times New Roman" w:cs="Times New Roman"/>
                <w:color w:val="000000"/>
              </w:rPr>
            </w:pPr>
            <w:r>
              <w:rPr>
                <w:rFonts w:eastAsia="Times New Roman" w:cs="Times New Roman"/>
                <w:color w:val="000000"/>
              </w:rPr>
              <w:lastRenderedPageBreak/>
              <w:t>Strategic Storytelling</w:t>
            </w:r>
          </w:p>
        </w:tc>
        <w:tc>
          <w:tcPr>
            <w:tcW w:w="5040" w:type="dxa"/>
          </w:tcPr>
          <w:p w14:paraId="0575937C" w14:textId="169E4974" w:rsidR="00E9691D" w:rsidRPr="009E17E5" w:rsidRDefault="00281D45"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1D45">
              <w:rPr>
                <w:rFonts w:eastAsia="Times New Roman" w:cs="Times New Roman"/>
                <w:color w:val="000000"/>
              </w:rPr>
              <w:t>Participants will learn effective storytelling techniques and then apply them to create persuasive</w:t>
            </w:r>
            <w:r>
              <w:rPr>
                <w:rFonts w:eastAsia="Times New Roman" w:cs="Times New Roman"/>
                <w:color w:val="000000"/>
              </w:rPr>
              <w:t xml:space="preserve"> </w:t>
            </w:r>
            <w:r w:rsidRPr="00281D45">
              <w:rPr>
                <w:rFonts w:eastAsia="Times New Roman" w:cs="Times New Roman"/>
                <w:color w:val="000000"/>
              </w:rPr>
              <w:t>business presentations or strategic communication campaigns. Participants will have the opportunity</w:t>
            </w:r>
            <w:r>
              <w:rPr>
                <w:rFonts w:eastAsia="Times New Roman" w:cs="Times New Roman"/>
                <w:color w:val="000000"/>
              </w:rPr>
              <w:t xml:space="preserve"> </w:t>
            </w:r>
            <w:r w:rsidRPr="00281D45">
              <w:rPr>
                <w:rFonts w:eastAsia="Times New Roman" w:cs="Times New Roman"/>
                <w:color w:val="000000"/>
              </w:rPr>
              <w:t>to practice storyboarding and receive feedback.</w:t>
            </w:r>
          </w:p>
        </w:tc>
      </w:tr>
      <w:tr w:rsidR="00E9691D" w:rsidRPr="00E46A39" w14:paraId="0503D91C"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4B74DEDF" w14:textId="5AF8A363" w:rsidR="00E9691D" w:rsidRDefault="00E9691D" w:rsidP="00AC3232">
            <w:pPr>
              <w:tabs>
                <w:tab w:val="left" w:pos="1080"/>
                <w:tab w:val="left" w:pos="2160"/>
                <w:tab w:val="left" w:pos="2520"/>
              </w:tabs>
              <w:rPr>
                <w:rFonts w:eastAsia="Times New Roman" w:cs="Times New Roman"/>
                <w:color w:val="000000"/>
              </w:rPr>
            </w:pPr>
            <w:r>
              <w:rPr>
                <w:rFonts w:eastAsia="Times New Roman" w:cs="Times New Roman"/>
                <w:color w:val="000000"/>
              </w:rPr>
              <w:t>Strategic Communication</w:t>
            </w:r>
          </w:p>
        </w:tc>
        <w:tc>
          <w:tcPr>
            <w:tcW w:w="5040" w:type="dxa"/>
          </w:tcPr>
          <w:p w14:paraId="5D9700BA" w14:textId="36DC3A44" w:rsidR="00E9691D" w:rsidRPr="009E17E5" w:rsidRDefault="00427736" w:rsidP="00AC3232">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27736">
              <w:rPr>
                <w:rFonts w:eastAsia="Times New Roman" w:cs="Times New Roman"/>
                <w:color w:val="000000"/>
              </w:rPr>
              <w:t xml:space="preserve">Participants will learn a proven process for designing, </w:t>
            </w:r>
            <w:proofErr w:type="gramStart"/>
            <w:r w:rsidRPr="00427736">
              <w:rPr>
                <w:rFonts w:eastAsia="Times New Roman" w:cs="Times New Roman"/>
                <w:color w:val="000000"/>
              </w:rPr>
              <w:t>implementing</w:t>
            </w:r>
            <w:proofErr w:type="gramEnd"/>
            <w:r w:rsidRPr="00427736">
              <w:rPr>
                <w:rFonts w:eastAsia="Times New Roman" w:cs="Times New Roman"/>
                <w:color w:val="000000"/>
              </w:rPr>
              <w:t xml:space="preserve"> and assessing a strategic</w:t>
            </w:r>
            <w:r>
              <w:rPr>
                <w:rFonts w:eastAsia="Times New Roman" w:cs="Times New Roman"/>
                <w:color w:val="000000"/>
              </w:rPr>
              <w:t xml:space="preserve"> </w:t>
            </w:r>
            <w:r w:rsidRPr="00427736">
              <w:rPr>
                <w:rFonts w:eastAsia="Times New Roman" w:cs="Times New Roman"/>
                <w:color w:val="000000"/>
              </w:rPr>
              <w:t>communication or information campaign. The process can be used for any type of information</w:t>
            </w:r>
            <w:r>
              <w:rPr>
                <w:rFonts w:eastAsia="Times New Roman" w:cs="Times New Roman"/>
                <w:color w:val="000000"/>
              </w:rPr>
              <w:t xml:space="preserve"> </w:t>
            </w:r>
            <w:r w:rsidRPr="00427736">
              <w:rPr>
                <w:rFonts w:eastAsia="Times New Roman" w:cs="Times New Roman"/>
                <w:color w:val="000000"/>
              </w:rPr>
              <w:t>campaign including internal reach to employees as well as external reach through media, social</w:t>
            </w:r>
            <w:r>
              <w:rPr>
                <w:rFonts w:eastAsia="Times New Roman" w:cs="Times New Roman"/>
                <w:color w:val="000000"/>
              </w:rPr>
              <w:t xml:space="preserve"> </w:t>
            </w:r>
            <w:r w:rsidRPr="00427736">
              <w:rPr>
                <w:rFonts w:eastAsia="Times New Roman" w:cs="Times New Roman"/>
                <w:color w:val="000000"/>
              </w:rPr>
              <w:t>media, and citizen engagement. The course includes IPA’s workbook, so participants plan a campaign</w:t>
            </w:r>
            <w:r>
              <w:rPr>
                <w:rFonts w:eastAsia="Times New Roman" w:cs="Times New Roman"/>
                <w:color w:val="000000"/>
              </w:rPr>
              <w:t xml:space="preserve"> </w:t>
            </w:r>
            <w:r w:rsidRPr="00427736">
              <w:rPr>
                <w:rFonts w:eastAsia="Times New Roman" w:cs="Times New Roman"/>
                <w:color w:val="000000"/>
              </w:rPr>
              <w:t>during the course.</w:t>
            </w:r>
            <w:r>
              <w:rPr>
                <w:rFonts w:eastAsia="Times New Roman" w:cs="Times New Roman"/>
                <w:color w:val="000000"/>
              </w:rPr>
              <w:t xml:space="preserve">  The course can also be adapted to focus on organizational strategic communication or individual strategic communication.</w:t>
            </w:r>
          </w:p>
        </w:tc>
      </w:tr>
      <w:tr w:rsidR="00E9691D" w:rsidRPr="00E46A39" w14:paraId="7306D3F7"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9F5FB2E" w14:textId="69AE0023" w:rsidR="00E9691D" w:rsidRDefault="00E9691D" w:rsidP="00AC3232">
            <w:pPr>
              <w:tabs>
                <w:tab w:val="left" w:pos="1080"/>
                <w:tab w:val="left" w:pos="2160"/>
                <w:tab w:val="left" w:pos="2520"/>
              </w:tabs>
              <w:rPr>
                <w:rFonts w:eastAsia="Times New Roman" w:cs="Times New Roman"/>
                <w:color w:val="000000"/>
              </w:rPr>
            </w:pPr>
            <w:r>
              <w:rPr>
                <w:rFonts w:eastAsia="Times New Roman" w:cs="Times New Roman"/>
                <w:color w:val="000000"/>
              </w:rPr>
              <w:t>Developing Your Organization’s Value Proposition</w:t>
            </w:r>
          </w:p>
        </w:tc>
        <w:tc>
          <w:tcPr>
            <w:tcW w:w="5040" w:type="dxa"/>
          </w:tcPr>
          <w:p w14:paraId="1CB1FB6A" w14:textId="57A857CE" w:rsidR="00E9691D" w:rsidRPr="009E17E5" w:rsidRDefault="00281D45"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81D45">
              <w:rPr>
                <w:rFonts w:eastAsia="Times New Roman" w:cs="Times New Roman"/>
                <w:color w:val="000000"/>
              </w:rPr>
              <w:t>Nearly 75% of executive teams don’t agree on their organization’s value proposition. This course is</w:t>
            </w:r>
            <w:r>
              <w:rPr>
                <w:rFonts w:eastAsia="Times New Roman" w:cs="Times New Roman"/>
                <w:color w:val="000000"/>
              </w:rPr>
              <w:t xml:space="preserve"> </w:t>
            </w:r>
            <w:r w:rsidRPr="00281D45">
              <w:rPr>
                <w:rFonts w:eastAsia="Times New Roman" w:cs="Times New Roman"/>
                <w:color w:val="000000"/>
              </w:rPr>
              <w:t>designed to assist participants to understand how to think about, create, and communicate value to</w:t>
            </w:r>
            <w:r>
              <w:rPr>
                <w:rFonts w:eastAsia="Times New Roman" w:cs="Times New Roman"/>
                <w:color w:val="000000"/>
              </w:rPr>
              <w:t xml:space="preserve"> </w:t>
            </w:r>
            <w:r w:rsidRPr="00281D45">
              <w:rPr>
                <w:rFonts w:eastAsia="Times New Roman" w:cs="Times New Roman"/>
                <w:color w:val="000000"/>
              </w:rPr>
              <w:t>their stakeholders and customers. It can be tailored to also help struggling teams align themselves to</w:t>
            </w:r>
            <w:r>
              <w:rPr>
                <w:rFonts w:eastAsia="Times New Roman" w:cs="Times New Roman"/>
                <w:color w:val="000000"/>
              </w:rPr>
              <w:t xml:space="preserve"> </w:t>
            </w:r>
            <w:r w:rsidRPr="00281D45">
              <w:rPr>
                <w:rFonts w:eastAsia="Times New Roman" w:cs="Times New Roman"/>
                <w:color w:val="000000"/>
              </w:rPr>
              <w:t>a value proposition and uncover implicit assumptions that may be hindering their success.</w:t>
            </w:r>
          </w:p>
        </w:tc>
      </w:tr>
      <w:tr w:rsidR="00E9691D" w:rsidRPr="00E46A39" w14:paraId="71E8EB0B"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15051EB0" w14:textId="7D099050" w:rsidR="00E9691D" w:rsidRDefault="00A556EA" w:rsidP="00AC3232">
            <w:pPr>
              <w:tabs>
                <w:tab w:val="left" w:pos="1080"/>
                <w:tab w:val="left" w:pos="2160"/>
                <w:tab w:val="left" w:pos="2520"/>
              </w:tabs>
              <w:rPr>
                <w:rFonts w:eastAsia="Times New Roman" w:cs="Times New Roman"/>
                <w:color w:val="000000"/>
              </w:rPr>
            </w:pPr>
            <w:r>
              <w:rPr>
                <w:rFonts w:eastAsia="Times New Roman" w:cs="Times New Roman"/>
                <w:color w:val="000000"/>
              </w:rPr>
              <w:t>The Business of Paradigms</w:t>
            </w:r>
          </w:p>
        </w:tc>
        <w:tc>
          <w:tcPr>
            <w:tcW w:w="5040" w:type="dxa"/>
          </w:tcPr>
          <w:p w14:paraId="00770AE0" w14:textId="37F7AB80" w:rsidR="00E9691D" w:rsidRPr="009E17E5" w:rsidRDefault="00B1061C" w:rsidP="00D664A3">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1061C">
              <w:rPr>
                <w:rFonts w:eastAsia="Times New Roman" w:cs="Times New Roman"/>
                <w:color w:val="000000"/>
              </w:rPr>
              <w:t>Change. Why are so many people afraid of it? And how can we help people be more open to it?</w:t>
            </w:r>
            <w:r>
              <w:rPr>
                <w:rFonts w:eastAsia="Times New Roman" w:cs="Times New Roman"/>
                <w:color w:val="000000"/>
              </w:rPr>
              <w:t xml:space="preserve">  </w:t>
            </w:r>
            <w:r w:rsidR="00D664A3">
              <w:rPr>
                <w:rFonts w:eastAsia="Times New Roman" w:cs="Times New Roman"/>
                <w:color w:val="000000"/>
              </w:rPr>
              <w:t>This course explains</w:t>
            </w:r>
            <w:r w:rsidRPr="00B1061C">
              <w:rPr>
                <w:rFonts w:eastAsia="Times New Roman" w:cs="Times New Roman"/>
                <w:color w:val="000000"/>
              </w:rPr>
              <w:t xml:space="preserve"> how our</w:t>
            </w:r>
            <w:r w:rsidR="00D664A3">
              <w:rPr>
                <w:rFonts w:eastAsia="Times New Roman" w:cs="Times New Roman"/>
                <w:color w:val="000000"/>
              </w:rPr>
              <w:t xml:space="preserve"> </w:t>
            </w:r>
            <w:r w:rsidRPr="00B1061C">
              <w:rPr>
                <w:rFonts w:eastAsia="Times New Roman" w:cs="Times New Roman"/>
                <w:color w:val="000000"/>
              </w:rPr>
              <w:t>paradigms, the rules we live by, can limit our ability to innovate and create; a critical element to</w:t>
            </w:r>
            <w:r w:rsidR="00D664A3">
              <w:rPr>
                <w:rFonts w:eastAsia="Times New Roman" w:cs="Times New Roman"/>
                <w:color w:val="000000"/>
              </w:rPr>
              <w:t xml:space="preserve"> </w:t>
            </w:r>
            <w:r w:rsidRPr="00B1061C">
              <w:rPr>
                <w:rFonts w:eastAsia="Times New Roman" w:cs="Times New Roman"/>
                <w:color w:val="000000"/>
              </w:rPr>
              <w:t xml:space="preserve">competing and surviving in today’s market. In example after example, </w:t>
            </w:r>
            <w:r w:rsidR="00D664A3">
              <w:rPr>
                <w:rFonts w:eastAsia="Times New Roman" w:cs="Times New Roman"/>
                <w:color w:val="000000"/>
              </w:rPr>
              <w:t xml:space="preserve">the course </w:t>
            </w:r>
            <w:r w:rsidRPr="00B1061C">
              <w:rPr>
                <w:rFonts w:eastAsia="Times New Roman" w:cs="Times New Roman"/>
                <w:color w:val="000000"/>
              </w:rPr>
              <w:t>demonstrates how</w:t>
            </w:r>
            <w:r w:rsidR="00D664A3">
              <w:rPr>
                <w:rFonts w:eastAsia="Times New Roman" w:cs="Times New Roman"/>
                <w:color w:val="000000"/>
              </w:rPr>
              <w:t xml:space="preserve"> </w:t>
            </w:r>
            <w:r w:rsidRPr="00B1061C">
              <w:rPr>
                <w:rFonts w:eastAsia="Times New Roman" w:cs="Times New Roman"/>
                <w:color w:val="000000"/>
              </w:rPr>
              <w:t>thinking differently is necessary for us to grow as organizations and individuals.</w:t>
            </w:r>
            <w:r w:rsidR="00D664A3">
              <w:rPr>
                <w:rFonts w:eastAsia="Times New Roman" w:cs="Times New Roman"/>
                <w:color w:val="000000"/>
              </w:rPr>
              <w:t xml:space="preserve">  Practical application and discussion allow participants to adapt the ideas to their own environment.</w:t>
            </w:r>
          </w:p>
        </w:tc>
      </w:tr>
      <w:tr w:rsidR="00E267D2" w:rsidRPr="00E46A39" w14:paraId="10572E1A"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46ECFFA" w14:textId="61D11093" w:rsidR="00E267D2" w:rsidRDefault="00E267D2" w:rsidP="00AC3232">
            <w:pPr>
              <w:tabs>
                <w:tab w:val="left" w:pos="1080"/>
                <w:tab w:val="left" w:pos="2160"/>
                <w:tab w:val="left" w:pos="2520"/>
              </w:tabs>
              <w:rPr>
                <w:rFonts w:eastAsia="Times New Roman" w:cs="Times New Roman"/>
                <w:color w:val="000000"/>
              </w:rPr>
            </w:pPr>
            <w:r>
              <w:rPr>
                <w:rFonts w:eastAsia="Times New Roman" w:cs="Times New Roman"/>
                <w:color w:val="000000"/>
              </w:rPr>
              <w:t>Capabilities-Based Planning for Emergency Response and Disaster Preparedness</w:t>
            </w:r>
          </w:p>
        </w:tc>
        <w:tc>
          <w:tcPr>
            <w:tcW w:w="5040" w:type="dxa"/>
          </w:tcPr>
          <w:p w14:paraId="0A2D8BC1" w14:textId="37DA6B2C" w:rsidR="00E267D2" w:rsidRPr="009E17E5" w:rsidRDefault="003A5B4A"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With significant increases in the frequency and magnitude of natural and human-made disasters, organizations are being pulled into having to be prepared for and respond to traumatic and catastrophic events.  Yet, most organizations are ill-prepared and find that response and recovery will yield excessive cost and toll in resources and reputation.  This course focuses on how organizations, of any size, can develop emergency plans and disaster responses that can integrate with first responders and sustain communities.</w:t>
            </w:r>
          </w:p>
        </w:tc>
      </w:tr>
    </w:tbl>
    <w:p w14:paraId="329208BE" w14:textId="77777777" w:rsidR="001757EE" w:rsidRPr="00016FD3" w:rsidRDefault="001757EE" w:rsidP="00083A8A">
      <w:pPr>
        <w:tabs>
          <w:tab w:val="left" w:pos="1080"/>
          <w:tab w:val="left" w:pos="2160"/>
          <w:tab w:val="left" w:pos="2520"/>
        </w:tabs>
        <w:jc w:val="both"/>
        <w:rPr>
          <w:rFonts w:eastAsia="Times New Roman" w:cs="Times New Roman"/>
          <w:color w:val="000000"/>
        </w:rPr>
      </w:pPr>
    </w:p>
    <w:p w14:paraId="4D51EC78" w14:textId="77777777" w:rsidR="00016FD3" w:rsidRPr="00016FD3" w:rsidRDefault="00016FD3" w:rsidP="001757EE">
      <w:pPr>
        <w:tabs>
          <w:tab w:val="left" w:pos="1080"/>
          <w:tab w:val="left" w:pos="2160"/>
          <w:tab w:val="left" w:pos="2520"/>
        </w:tabs>
        <w:jc w:val="both"/>
        <w:rPr>
          <w:rFonts w:eastAsia="Times New Roman" w:cs="Times New Roman"/>
          <w:color w:val="000000"/>
        </w:rPr>
      </w:pPr>
    </w:p>
    <w:p w14:paraId="03CE5A84" w14:textId="77777777" w:rsidR="00965A22" w:rsidRDefault="00965A22">
      <w:pPr>
        <w:rPr>
          <w:rFonts w:eastAsia="Times New Roman"/>
          <w:caps/>
          <w:color w:val="FFFFFF" w:themeColor="background1"/>
          <w:spacing w:val="15"/>
          <w:sz w:val="22"/>
          <w:szCs w:val="22"/>
        </w:rPr>
      </w:pPr>
      <w:r>
        <w:rPr>
          <w:rFonts w:eastAsia="Times New Roman"/>
        </w:rPr>
        <w:br w:type="page"/>
      </w:r>
    </w:p>
    <w:p w14:paraId="2FE16287" w14:textId="5689E977" w:rsidR="00175456" w:rsidRPr="006806E7" w:rsidRDefault="00175456" w:rsidP="00A556EA">
      <w:pPr>
        <w:pStyle w:val="Heading1"/>
        <w:rPr>
          <w:rFonts w:eastAsia="Times New Roman"/>
        </w:rPr>
      </w:pPr>
      <w:bookmarkStart w:id="4" w:name="_Toc79495200"/>
      <w:r w:rsidRPr="006806E7">
        <w:rPr>
          <w:rFonts w:eastAsia="Times New Roman"/>
        </w:rPr>
        <w:lastRenderedPageBreak/>
        <w:t>Data Analysis/Analytics</w:t>
      </w:r>
      <w:bookmarkEnd w:id="4"/>
    </w:p>
    <w:p w14:paraId="6C31BD0C" w14:textId="56DD0AAD" w:rsidR="00A556EA" w:rsidRDefault="00A556EA" w:rsidP="00A556EA">
      <w:pPr>
        <w:tabs>
          <w:tab w:val="left" w:pos="1080"/>
          <w:tab w:val="left" w:pos="2160"/>
          <w:tab w:val="left" w:pos="2520"/>
        </w:tabs>
        <w:ind w:left="3960"/>
        <w:rPr>
          <w:rFonts w:eastAsia="Times New Roman" w:cs="Times New Roman"/>
          <w:color w:val="000000"/>
        </w:rPr>
      </w:pPr>
      <w:r w:rsidRPr="00C10A03">
        <w:rPr>
          <w:noProof/>
        </w:rPr>
        <w:drawing>
          <wp:anchor distT="0" distB="0" distL="114300" distR="114300" simplePos="0" relativeHeight="251667456" behindDoc="0" locked="0" layoutInCell="1" allowOverlap="1" wp14:anchorId="7762C6C7" wp14:editId="0664DE89">
            <wp:simplePos x="0" y="0"/>
            <wp:positionH relativeFrom="margin">
              <wp:align>left</wp:align>
            </wp:positionH>
            <wp:positionV relativeFrom="paragraph">
              <wp:posOffset>123825</wp:posOffset>
            </wp:positionV>
            <wp:extent cx="2948940" cy="141732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8940" cy="1417320"/>
                    </a:xfrm>
                    <a:prstGeom prst="rect">
                      <a:avLst/>
                    </a:prstGeom>
                  </pic:spPr>
                </pic:pic>
              </a:graphicData>
            </a:graphic>
            <wp14:sizeRelH relativeFrom="page">
              <wp14:pctWidth>0</wp14:pctWidth>
            </wp14:sizeRelH>
            <wp14:sizeRelV relativeFrom="page">
              <wp14:pctHeight>0</wp14:pctHeight>
            </wp14:sizeRelV>
          </wp:anchor>
        </w:drawing>
      </w:r>
      <w:r w:rsidR="007E4D7A">
        <w:rPr>
          <w:rFonts w:eastAsia="Times New Roman" w:cs="Times New Roman"/>
          <w:color w:val="000000"/>
        </w:rPr>
        <w:t>As the use of data becomes increasingly more important as a 21</w:t>
      </w:r>
      <w:r w:rsidR="007E4D7A" w:rsidRPr="007E4D7A">
        <w:rPr>
          <w:rFonts w:eastAsia="Times New Roman" w:cs="Times New Roman"/>
          <w:color w:val="000000"/>
          <w:vertAlign w:val="superscript"/>
        </w:rPr>
        <w:t>st</w:t>
      </w:r>
      <w:r w:rsidR="007E4D7A">
        <w:rPr>
          <w:rFonts w:eastAsia="Times New Roman" w:cs="Times New Roman"/>
          <w:color w:val="000000"/>
        </w:rPr>
        <w:t xml:space="preserve"> century competency, the data courses are designed to provide participants with familiarity and practice in using data to apply to decision-making</w:t>
      </w:r>
      <w:r w:rsidR="00B64194">
        <w:rPr>
          <w:rFonts w:eastAsia="Times New Roman" w:cs="Times New Roman"/>
          <w:color w:val="000000"/>
        </w:rPr>
        <w:t xml:space="preserve"> to enhance organizational performance and certainty. </w:t>
      </w:r>
    </w:p>
    <w:p w14:paraId="78EF6709" w14:textId="5A4BE6C0" w:rsidR="00B64194" w:rsidRDefault="00B64194" w:rsidP="00A556EA">
      <w:pPr>
        <w:tabs>
          <w:tab w:val="left" w:pos="1080"/>
          <w:tab w:val="left" w:pos="2160"/>
          <w:tab w:val="left" w:pos="2520"/>
        </w:tabs>
        <w:ind w:left="3960"/>
        <w:rPr>
          <w:rFonts w:eastAsia="Times New Roman" w:cs="Times New Roman"/>
          <w:color w:val="000000"/>
        </w:rPr>
      </w:pPr>
    </w:p>
    <w:p w14:paraId="430D6057" w14:textId="77777777" w:rsidR="001E6D2F" w:rsidRDefault="001E6D2F" w:rsidP="00A556EA">
      <w:pPr>
        <w:tabs>
          <w:tab w:val="left" w:pos="1080"/>
          <w:tab w:val="left" w:pos="2160"/>
          <w:tab w:val="left" w:pos="2520"/>
        </w:tabs>
        <w:ind w:left="3960"/>
        <w:rPr>
          <w:rFonts w:eastAsia="Times New Roman" w:cs="Times New Roman"/>
          <w:color w:val="000000"/>
        </w:rPr>
      </w:pPr>
    </w:p>
    <w:tbl>
      <w:tblPr>
        <w:tblStyle w:val="GridTable4-Accent1"/>
        <w:tblW w:w="9355" w:type="dxa"/>
        <w:tblLook w:val="04A0" w:firstRow="1" w:lastRow="0" w:firstColumn="1" w:lastColumn="0" w:noHBand="0" w:noVBand="1"/>
      </w:tblPr>
      <w:tblGrid>
        <w:gridCol w:w="4315"/>
        <w:gridCol w:w="5040"/>
      </w:tblGrid>
      <w:tr w:rsidR="001E6D2F" w:rsidRPr="00E46A39" w14:paraId="175320BA" w14:textId="77777777" w:rsidTr="00AC3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50E4C89" w14:textId="77777777" w:rsidR="001E6D2F" w:rsidRDefault="001E6D2F" w:rsidP="00AC3232">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Course Title</w:t>
            </w:r>
          </w:p>
        </w:tc>
        <w:tc>
          <w:tcPr>
            <w:tcW w:w="5040" w:type="dxa"/>
          </w:tcPr>
          <w:p w14:paraId="409B0D1E" w14:textId="77777777" w:rsidR="001E6D2F" w:rsidRPr="00E46A39" w:rsidRDefault="001E6D2F" w:rsidP="00AC3232">
            <w:pPr>
              <w:tabs>
                <w:tab w:val="left" w:pos="1080"/>
                <w:tab w:val="left" w:pos="2160"/>
                <w:tab w:val="left" w:pos="2520"/>
              </w:tabs>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E46A39">
              <w:rPr>
                <w:rFonts w:eastAsia="Times New Roman" w:cs="Times New Roman"/>
                <w:color w:val="000000"/>
              </w:rPr>
              <w:t>Course Description</w:t>
            </w:r>
          </w:p>
        </w:tc>
      </w:tr>
      <w:tr w:rsidR="001E6D2F" w:rsidRPr="00E46A39" w14:paraId="3F0DE4EC"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B1B3777" w14:textId="5610719C" w:rsidR="001E6D2F" w:rsidRPr="00E46A39" w:rsidRDefault="000D7740" w:rsidP="00AC3232">
            <w:pPr>
              <w:pStyle w:val="ListParagraph"/>
              <w:tabs>
                <w:tab w:val="left" w:pos="1080"/>
                <w:tab w:val="left" w:pos="2160"/>
                <w:tab w:val="left" w:pos="2520"/>
              </w:tabs>
              <w:ind w:left="0"/>
              <w:rPr>
                <w:rFonts w:eastAsia="Times New Roman" w:cs="Times New Roman"/>
                <w:color w:val="000000"/>
                <w:sz w:val="20"/>
                <w:szCs w:val="20"/>
              </w:rPr>
            </w:pPr>
            <w:r>
              <w:rPr>
                <w:rFonts w:eastAsia="Times New Roman" w:cs="Times New Roman"/>
                <w:color w:val="000000"/>
                <w:sz w:val="20"/>
                <w:szCs w:val="20"/>
              </w:rPr>
              <w:t>Data Literacy Bootcamp</w:t>
            </w:r>
          </w:p>
        </w:tc>
        <w:tc>
          <w:tcPr>
            <w:tcW w:w="5040" w:type="dxa"/>
          </w:tcPr>
          <w:p w14:paraId="0E2BBD68" w14:textId="46DDF6B6" w:rsidR="001E6D2F" w:rsidRPr="00E46A39" w:rsidRDefault="002C67D7" w:rsidP="00AC3232">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C67D7">
              <w:rPr>
                <w:rFonts w:eastAsia="Times New Roman" w:cs="Times New Roman"/>
                <w:color w:val="000000"/>
              </w:rPr>
              <w:t>The course is designed for executives who need foundational knowledge and skills to create and lead a</w:t>
            </w:r>
            <w:r>
              <w:rPr>
                <w:rFonts w:eastAsia="Times New Roman" w:cs="Times New Roman"/>
                <w:color w:val="000000"/>
              </w:rPr>
              <w:t xml:space="preserve"> </w:t>
            </w:r>
            <w:r w:rsidRPr="002C67D7">
              <w:rPr>
                <w:rFonts w:eastAsia="Times New Roman" w:cs="Times New Roman"/>
                <w:color w:val="000000"/>
              </w:rPr>
              <w:t>data-informed organization. The course is not designed to be a data science course, develop data</w:t>
            </w:r>
            <w:r>
              <w:rPr>
                <w:rFonts w:eastAsia="Times New Roman" w:cs="Times New Roman"/>
                <w:color w:val="000000"/>
              </w:rPr>
              <w:t xml:space="preserve"> </w:t>
            </w:r>
            <w:r w:rsidRPr="002C67D7">
              <w:rPr>
                <w:rFonts w:eastAsia="Times New Roman" w:cs="Times New Roman"/>
                <w:color w:val="000000"/>
              </w:rPr>
              <w:t xml:space="preserve">models or algorithms, or to teach about specific data analysis applications. </w:t>
            </w:r>
            <w:r w:rsidR="00734D39" w:rsidRPr="002C67D7">
              <w:rPr>
                <w:rFonts w:eastAsia="Times New Roman" w:cs="Times New Roman"/>
                <w:color w:val="000000"/>
              </w:rPr>
              <w:t>Instead,</w:t>
            </w:r>
            <w:r w:rsidRPr="002C67D7">
              <w:rPr>
                <w:rFonts w:eastAsia="Times New Roman" w:cs="Times New Roman"/>
                <w:color w:val="000000"/>
              </w:rPr>
              <w:t xml:space="preserve"> it is provided as an</w:t>
            </w:r>
            <w:r>
              <w:rPr>
                <w:rFonts w:eastAsia="Times New Roman" w:cs="Times New Roman"/>
                <w:color w:val="000000"/>
              </w:rPr>
              <w:t xml:space="preserve"> </w:t>
            </w:r>
            <w:r w:rsidRPr="002C67D7">
              <w:rPr>
                <w:rFonts w:eastAsia="Times New Roman" w:cs="Times New Roman"/>
                <w:color w:val="000000"/>
              </w:rPr>
              <w:t>overview of managing the use of data for mission and support functions. Participants will review core</w:t>
            </w:r>
            <w:r>
              <w:rPr>
                <w:rFonts w:eastAsia="Times New Roman" w:cs="Times New Roman"/>
                <w:color w:val="000000"/>
              </w:rPr>
              <w:t xml:space="preserve"> </w:t>
            </w:r>
            <w:r w:rsidRPr="002C67D7">
              <w:rPr>
                <w:rFonts w:eastAsia="Times New Roman" w:cs="Times New Roman"/>
                <w:color w:val="000000"/>
              </w:rPr>
              <w:t>data terms and concepts every leader should know. Learn the data-informed decision-making</w:t>
            </w:r>
            <w:r>
              <w:rPr>
                <w:rFonts w:eastAsia="Times New Roman" w:cs="Times New Roman"/>
                <w:color w:val="000000"/>
              </w:rPr>
              <w:t xml:space="preserve"> </w:t>
            </w:r>
            <w:r w:rsidRPr="002C67D7">
              <w:rPr>
                <w:rFonts w:eastAsia="Times New Roman" w:cs="Times New Roman"/>
                <w:color w:val="000000"/>
              </w:rPr>
              <w:t>process. Understand how to look for the story that data tells through data analysis and analytics.</w:t>
            </w:r>
            <w:r>
              <w:rPr>
                <w:rFonts w:eastAsia="Times New Roman" w:cs="Times New Roman"/>
                <w:color w:val="000000"/>
              </w:rPr>
              <w:t xml:space="preserve"> </w:t>
            </w:r>
            <w:r w:rsidRPr="002C67D7">
              <w:rPr>
                <w:rFonts w:eastAsia="Times New Roman" w:cs="Times New Roman"/>
                <w:color w:val="000000"/>
              </w:rPr>
              <w:t>Learn how you can create a data-informed organizational culture.</w:t>
            </w:r>
          </w:p>
        </w:tc>
      </w:tr>
      <w:tr w:rsidR="001E6D2F" w:rsidRPr="00E46A39" w14:paraId="700CC2CB" w14:textId="77777777" w:rsidTr="00AC3232">
        <w:tc>
          <w:tcPr>
            <w:cnfStyle w:val="001000000000" w:firstRow="0" w:lastRow="0" w:firstColumn="1" w:lastColumn="0" w:oddVBand="0" w:evenVBand="0" w:oddHBand="0" w:evenHBand="0" w:firstRowFirstColumn="0" w:firstRowLastColumn="0" w:lastRowFirstColumn="0" w:lastRowLastColumn="0"/>
            <w:tcW w:w="4315" w:type="dxa"/>
          </w:tcPr>
          <w:p w14:paraId="1313F6AC" w14:textId="79B3A303" w:rsidR="001E6D2F" w:rsidRPr="00E46A39" w:rsidRDefault="000D7740" w:rsidP="00AC3232">
            <w:pPr>
              <w:tabs>
                <w:tab w:val="left" w:pos="1080"/>
                <w:tab w:val="left" w:pos="2160"/>
                <w:tab w:val="left" w:pos="2520"/>
              </w:tabs>
              <w:rPr>
                <w:rFonts w:eastAsia="Times New Roman" w:cs="Times New Roman"/>
                <w:color w:val="000000"/>
              </w:rPr>
            </w:pPr>
            <w:r>
              <w:rPr>
                <w:rFonts w:eastAsia="Times New Roman" w:cs="Times New Roman"/>
                <w:color w:val="000000"/>
              </w:rPr>
              <w:t>Data-Informed Decision Making</w:t>
            </w:r>
          </w:p>
        </w:tc>
        <w:tc>
          <w:tcPr>
            <w:tcW w:w="5040" w:type="dxa"/>
          </w:tcPr>
          <w:p w14:paraId="7FEADC27" w14:textId="2883AF64" w:rsidR="001E6D2F" w:rsidRPr="00D362D9" w:rsidRDefault="007C16D1" w:rsidP="00AC3232">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bCs/>
                <w:color w:val="222222"/>
              </w:rPr>
            </w:pPr>
            <w:r w:rsidRPr="007C16D1">
              <w:rPr>
                <w:rFonts w:eastAsia="Times New Roman" w:cs="Arial"/>
                <w:bCs/>
                <w:color w:val="222222"/>
              </w:rPr>
              <w:t>This course is a deeper dive into data informed decision-making. The course will cover the context of</w:t>
            </w:r>
            <w:r>
              <w:rPr>
                <w:rFonts w:eastAsia="Times New Roman" w:cs="Arial"/>
                <w:bCs/>
                <w:color w:val="222222"/>
              </w:rPr>
              <w:t xml:space="preserve"> </w:t>
            </w:r>
            <w:r w:rsidRPr="007C16D1">
              <w:rPr>
                <w:rFonts w:eastAsia="Times New Roman" w:cs="Arial"/>
                <w:bCs/>
                <w:color w:val="222222"/>
              </w:rPr>
              <w:t>data informed decision-making, including systems awareness, strategic thinking, and management by</w:t>
            </w:r>
            <w:r>
              <w:rPr>
                <w:rFonts w:eastAsia="Times New Roman" w:cs="Arial"/>
                <w:bCs/>
                <w:color w:val="222222"/>
              </w:rPr>
              <w:t xml:space="preserve"> </w:t>
            </w:r>
            <w:r w:rsidRPr="007C16D1">
              <w:rPr>
                <w:rFonts w:eastAsia="Times New Roman" w:cs="Arial"/>
                <w:bCs/>
                <w:color w:val="222222"/>
              </w:rPr>
              <w:t>fact. Participants also explore the challenges of data informed decision-making, including</w:t>
            </w:r>
            <w:r>
              <w:rPr>
                <w:rFonts w:eastAsia="Times New Roman" w:cs="Arial"/>
                <w:bCs/>
                <w:color w:val="222222"/>
              </w:rPr>
              <w:t xml:space="preserve"> </w:t>
            </w:r>
            <w:r w:rsidRPr="007C16D1">
              <w:rPr>
                <w:rFonts w:eastAsia="Times New Roman" w:cs="Arial"/>
                <w:bCs/>
                <w:color w:val="222222"/>
              </w:rPr>
              <w:t xml:space="preserve">understanding decision bias, </w:t>
            </w:r>
            <w:proofErr w:type="gramStart"/>
            <w:r w:rsidRPr="007C16D1">
              <w:rPr>
                <w:rFonts w:eastAsia="Times New Roman" w:cs="Arial"/>
                <w:bCs/>
                <w:color w:val="222222"/>
              </w:rPr>
              <w:t>managing</w:t>
            </w:r>
            <w:proofErr w:type="gramEnd"/>
            <w:r w:rsidRPr="007C16D1">
              <w:rPr>
                <w:rFonts w:eastAsia="Times New Roman" w:cs="Arial"/>
                <w:bCs/>
                <w:color w:val="222222"/>
              </w:rPr>
              <w:t xml:space="preserve"> and analyzing data, and predictive analytics. Participants will</w:t>
            </w:r>
            <w:r>
              <w:rPr>
                <w:rFonts w:eastAsia="Times New Roman" w:cs="Arial"/>
                <w:bCs/>
                <w:color w:val="222222"/>
              </w:rPr>
              <w:t xml:space="preserve"> </w:t>
            </w:r>
            <w:r w:rsidRPr="007C16D1">
              <w:rPr>
                <w:rFonts w:eastAsia="Times New Roman" w:cs="Arial"/>
                <w:bCs/>
                <w:color w:val="222222"/>
              </w:rPr>
              <w:t>take away an overview of helpful data-informed decision-making tools. Finally, participants will</w:t>
            </w:r>
            <w:r>
              <w:rPr>
                <w:rFonts w:eastAsia="Times New Roman" w:cs="Arial"/>
                <w:bCs/>
                <w:color w:val="222222"/>
              </w:rPr>
              <w:t xml:space="preserve"> </w:t>
            </w:r>
            <w:r w:rsidRPr="007C16D1">
              <w:rPr>
                <w:rFonts w:eastAsia="Times New Roman" w:cs="Arial"/>
                <w:bCs/>
                <w:color w:val="222222"/>
              </w:rPr>
              <w:t>generate results by helping participants apply the information to their specific circumstances.</w:t>
            </w:r>
          </w:p>
        </w:tc>
      </w:tr>
      <w:tr w:rsidR="001E6D2F" w:rsidRPr="00E46A39" w14:paraId="657168D9" w14:textId="77777777" w:rsidTr="00AC3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499E50D" w14:textId="3C27C56E" w:rsidR="001E6D2F" w:rsidRPr="00E46A39" w:rsidRDefault="000D7740" w:rsidP="00AC3232">
            <w:pPr>
              <w:tabs>
                <w:tab w:val="left" w:pos="1080"/>
                <w:tab w:val="left" w:pos="2160"/>
                <w:tab w:val="left" w:pos="2520"/>
              </w:tabs>
              <w:rPr>
                <w:rFonts w:eastAsia="Times New Roman" w:cs="Times New Roman"/>
                <w:color w:val="000000"/>
              </w:rPr>
            </w:pPr>
            <w:r>
              <w:rPr>
                <w:rFonts w:eastAsia="Times New Roman" w:cs="Times New Roman"/>
                <w:color w:val="000000"/>
              </w:rPr>
              <w:t>Data Analysis and Reporting</w:t>
            </w:r>
          </w:p>
        </w:tc>
        <w:tc>
          <w:tcPr>
            <w:tcW w:w="5040" w:type="dxa"/>
          </w:tcPr>
          <w:p w14:paraId="0EF4EE94" w14:textId="77EFC918" w:rsidR="001E6D2F" w:rsidRPr="00E46A39" w:rsidRDefault="003458ED" w:rsidP="00AC323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3458ED">
              <w:rPr>
                <w:rFonts w:eastAsia="Times New Roman" w:cs="Times New Roman"/>
                <w:color w:val="000000"/>
              </w:rPr>
              <w:t>Recognizing the completeness and reliability of performance data and understanding the key steps</w:t>
            </w:r>
            <w:r>
              <w:rPr>
                <w:rFonts w:eastAsia="Times New Roman" w:cs="Times New Roman"/>
                <w:color w:val="000000"/>
              </w:rPr>
              <w:t xml:space="preserve"> </w:t>
            </w:r>
            <w:r w:rsidRPr="003458ED">
              <w:rPr>
                <w:rFonts w:eastAsia="Times New Roman" w:cs="Times New Roman"/>
                <w:color w:val="000000"/>
              </w:rPr>
              <w:t>that can be implemented to ensure that data is as accurate as possible. Understand the impact and</w:t>
            </w:r>
            <w:r>
              <w:rPr>
                <w:rFonts w:eastAsia="Times New Roman" w:cs="Times New Roman"/>
                <w:color w:val="000000"/>
              </w:rPr>
              <w:t xml:space="preserve"> </w:t>
            </w:r>
            <w:r w:rsidRPr="003458ED">
              <w:rPr>
                <w:rFonts w:eastAsia="Times New Roman" w:cs="Times New Roman"/>
                <w:color w:val="000000"/>
              </w:rPr>
              <w:t>importance of communication in the execution of performance information for results.</w:t>
            </w:r>
            <w:r>
              <w:rPr>
                <w:rFonts w:eastAsia="Times New Roman" w:cs="Times New Roman"/>
                <w:color w:val="000000"/>
              </w:rPr>
              <w:t xml:space="preserve">  This course </w:t>
            </w:r>
            <w:r w:rsidR="007F1431">
              <w:rPr>
                <w:rFonts w:eastAsia="Times New Roman" w:cs="Times New Roman"/>
                <w:color w:val="000000"/>
              </w:rPr>
              <w:t>features modules on how to trust your data, basics of analysis of quantitative and qualitative data, and data visualization tips and tricks.</w:t>
            </w:r>
          </w:p>
        </w:tc>
      </w:tr>
    </w:tbl>
    <w:p w14:paraId="2F3146AB" w14:textId="19DC9812" w:rsidR="003B5953" w:rsidRDefault="003B5953" w:rsidP="003B5953">
      <w:pPr>
        <w:rPr>
          <w:rFonts w:eastAsia="Times New Roman"/>
        </w:rPr>
      </w:pPr>
    </w:p>
    <w:p w14:paraId="6A216B06" w14:textId="1070C81E" w:rsidR="00175456" w:rsidRPr="006806E7" w:rsidRDefault="00175456" w:rsidP="00643B62">
      <w:pPr>
        <w:pStyle w:val="Heading1"/>
        <w:rPr>
          <w:rFonts w:eastAsia="Times New Roman"/>
        </w:rPr>
      </w:pPr>
      <w:bookmarkStart w:id="5" w:name="_Toc79495201"/>
      <w:r w:rsidRPr="006806E7">
        <w:rPr>
          <w:rFonts w:eastAsia="Times New Roman"/>
        </w:rPr>
        <w:lastRenderedPageBreak/>
        <w:t>Human Resource Management</w:t>
      </w:r>
      <w:bookmarkEnd w:id="5"/>
    </w:p>
    <w:p w14:paraId="1ABF7974" w14:textId="5999493D" w:rsidR="00643B62" w:rsidRDefault="009E2B8D" w:rsidP="00426093">
      <w:pPr>
        <w:pStyle w:val="ListParagraph"/>
        <w:tabs>
          <w:tab w:val="left" w:pos="1080"/>
          <w:tab w:val="left" w:pos="2160"/>
          <w:tab w:val="left" w:pos="2520"/>
        </w:tabs>
        <w:ind w:left="4320"/>
        <w:rPr>
          <w:rFonts w:eastAsia="Times New Roman" w:cs="Times New Roman"/>
          <w:color w:val="000000"/>
        </w:rPr>
      </w:pPr>
      <w:r w:rsidRPr="00C10A03">
        <w:rPr>
          <w:noProof/>
        </w:rPr>
        <w:drawing>
          <wp:anchor distT="0" distB="0" distL="114300" distR="114300" simplePos="0" relativeHeight="251668480" behindDoc="0" locked="0" layoutInCell="1" allowOverlap="1" wp14:anchorId="379E3992" wp14:editId="379E407A">
            <wp:simplePos x="0" y="0"/>
            <wp:positionH relativeFrom="margin">
              <wp:align>left</wp:align>
            </wp:positionH>
            <wp:positionV relativeFrom="paragraph">
              <wp:posOffset>80645</wp:posOffset>
            </wp:positionV>
            <wp:extent cx="3127375" cy="15621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27375" cy="1562100"/>
                    </a:xfrm>
                    <a:prstGeom prst="rect">
                      <a:avLst/>
                    </a:prstGeom>
                  </pic:spPr>
                </pic:pic>
              </a:graphicData>
            </a:graphic>
            <wp14:sizeRelH relativeFrom="page">
              <wp14:pctWidth>0</wp14:pctWidth>
            </wp14:sizeRelH>
            <wp14:sizeRelV relativeFrom="page">
              <wp14:pctHeight>0</wp14:pctHeight>
            </wp14:sizeRelV>
          </wp:anchor>
        </w:drawing>
      </w:r>
      <w:r w:rsidR="00B61E69">
        <w:rPr>
          <w:rFonts w:eastAsia="Times New Roman" w:cs="Times New Roman"/>
          <w:color w:val="000000"/>
        </w:rPr>
        <w:t>The IPA courses under the HR Management category are focused on the human resource operations that support an organization.  However, these courses are also valuable for non-HR specialists as they provide insight into how to develop, manage, and retain the organization’s talent.</w:t>
      </w:r>
    </w:p>
    <w:p w14:paraId="11289212" w14:textId="77777777" w:rsidR="00643B62" w:rsidRDefault="00643B62" w:rsidP="00426093">
      <w:pPr>
        <w:pStyle w:val="ListParagraph"/>
        <w:tabs>
          <w:tab w:val="left" w:pos="1080"/>
          <w:tab w:val="left" w:pos="2160"/>
          <w:tab w:val="left" w:pos="2520"/>
        </w:tabs>
        <w:ind w:left="4320"/>
        <w:rPr>
          <w:rFonts w:eastAsia="Times New Roman" w:cs="Times New Roman"/>
          <w:color w:val="000000"/>
        </w:rPr>
      </w:pPr>
    </w:p>
    <w:p w14:paraId="162ED539" w14:textId="77777777" w:rsidR="00426093" w:rsidRDefault="00426093" w:rsidP="00426093">
      <w:pPr>
        <w:pStyle w:val="ListParagraph"/>
        <w:tabs>
          <w:tab w:val="left" w:pos="1080"/>
          <w:tab w:val="left" w:pos="2160"/>
          <w:tab w:val="left" w:pos="2520"/>
        </w:tabs>
        <w:ind w:left="4320"/>
        <w:rPr>
          <w:rFonts w:eastAsia="Times New Roman" w:cs="Times New Roman"/>
          <w:color w:val="000000"/>
        </w:rPr>
      </w:pPr>
    </w:p>
    <w:p w14:paraId="5905E110" w14:textId="519800B3" w:rsidR="00114213" w:rsidRDefault="00114213" w:rsidP="00426093">
      <w:pPr>
        <w:pStyle w:val="ListParagraph"/>
        <w:tabs>
          <w:tab w:val="left" w:pos="1080"/>
          <w:tab w:val="left" w:pos="2160"/>
          <w:tab w:val="left" w:pos="2520"/>
        </w:tabs>
        <w:ind w:left="4320"/>
        <w:rPr>
          <w:rFonts w:eastAsia="Times New Roman" w:cs="Times New Roman"/>
          <w:color w:val="000000"/>
        </w:rPr>
      </w:pPr>
    </w:p>
    <w:tbl>
      <w:tblPr>
        <w:tblStyle w:val="GridTable4-Accent1"/>
        <w:tblW w:w="0" w:type="auto"/>
        <w:tblLook w:val="04A0" w:firstRow="1" w:lastRow="0" w:firstColumn="1" w:lastColumn="0" w:noHBand="0" w:noVBand="1"/>
      </w:tblPr>
      <w:tblGrid>
        <w:gridCol w:w="4318"/>
        <w:gridCol w:w="5032"/>
      </w:tblGrid>
      <w:tr w:rsidR="00607358" w14:paraId="28445F27" w14:textId="77777777" w:rsidTr="00AC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18" w:type="dxa"/>
          </w:tcPr>
          <w:p w14:paraId="3B9538B6" w14:textId="389005D1" w:rsidR="00607358" w:rsidRDefault="00607358" w:rsidP="00426093">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Course Title</w:t>
            </w:r>
          </w:p>
        </w:tc>
        <w:tc>
          <w:tcPr>
            <w:tcW w:w="5032" w:type="dxa"/>
          </w:tcPr>
          <w:p w14:paraId="66AD7A94" w14:textId="1BE4B0ED" w:rsidR="00607358" w:rsidRDefault="00607358" w:rsidP="00426093">
            <w:pPr>
              <w:pStyle w:val="ListParagraph"/>
              <w:tabs>
                <w:tab w:val="left" w:pos="1080"/>
                <w:tab w:val="left" w:pos="2160"/>
                <w:tab w:val="left" w:pos="2520"/>
              </w:tabs>
              <w:ind w:left="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Course Description</w:t>
            </w:r>
          </w:p>
        </w:tc>
      </w:tr>
      <w:tr w:rsidR="00607358" w14:paraId="185442A3" w14:textId="77777777" w:rsidTr="0072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14:paraId="62031769" w14:textId="57875320" w:rsidR="00607358" w:rsidRDefault="00607358" w:rsidP="00426093">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HR Analytics to Drive Organizational Success</w:t>
            </w:r>
          </w:p>
        </w:tc>
        <w:tc>
          <w:tcPr>
            <w:tcW w:w="5032" w:type="dxa"/>
          </w:tcPr>
          <w:p w14:paraId="2BA5F27C" w14:textId="1CCC457A" w:rsidR="00607358" w:rsidRDefault="004D2E4D" w:rsidP="004D2E4D">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4D2E4D">
              <w:rPr>
                <w:rFonts w:eastAsia="Times New Roman" w:cs="Times New Roman"/>
                <w:color w:val="000000"/>
              </w:rPr>
              <w:t>This course is for executives and HR specialists to help understand what analytics/metrics they should</w:t>
            </w:r>
            <w:r>
              <w:rPr>
                <w:rFonts w:eastAsia="Times New Roman" w:cs="Times New Roman"/>
                <w:color w:val="000000"/>
              </w:rPr>
              <w:t xml:space="preserve"> </w:t>
            </w:r>
            <w:r w:rsidRPr="004D2E4D">
              <w:rPr>
                <w:rFonts w:eastAsia="Times New Roman" w:cs="Times New Roman"/>
                <w:color w:val="000000"/>
              </w:rPr>
              <w:t>be reviewing to guide organizational success with their people. The course covers types of metrics</w:t>
            </w:r>
            <w:r>
              <w:rPr>
                <w:rFonts w:eastAsia="Times New Roman" w:cs="Times New Roman"/>
                <w:color w:val="000000"/>
              </w:rPr>
              <w:t xml:space="preserve"> </w:t>
            </w:r>
            <w:r w:rsidRPr="004D2E4D">
              <w:rPr>
                <w:rFonts w:eastAsia="Times New Roman" w:cs="Times New Roman"/>
                <w:color w:val="000000"/>
              </w:rPr>
              <w:t>and ways to collect, analyze, and use the data. The course also focuses on HR strategy to ensure that</w:t>
            </w:r>
            <w:r>
              <w:rPr>
                <w:rFonts w:eastAsia="Times New Roman" w:cs="Times New Roman"/>
                <w:color w:val="000000"/>
              </w:rPr>
              <w:t xml:space="preserve"> </w:t>
            </w:r>
            <w:r w:rsidRPr="004D2E4D">
              <w:rPr>
                <w:rFonts w:eastAsia="Times New Roman" w:cs="Times New Roman"/>
                <w:color w:val="000000"/>
              </w:rPr>
              <w:t>HR has a seat at the executive table.</w:t>
            </w:r>
          </w:p>
        </w:tc>
      </w:tr>
      <w:tr w:rsidR="00607358" w14:paraId="48D443D0" w14:textId="77777777" w:rsidTr="00722244">
        <w:tc>
          <w:tcPr>
            <w:cnfStyle w:val="001000000000" w:firstRow="0" w:lastRow="0" w:firstColumn="1" w:lastColumn="0" w:oddVBand="0" w:evenVBand="0" w:oddHBand="0" w:evenHBand="0" w:firstRowFirstColumn="0" w:firstRowLastColumn="0" w:lastRowFirstColumn="0" w:lastRowLastColumn="0"/>
            <w:tcW w:w="4318" w:type="dxa"/>
          </w:tcPr>
          <w:p w14:paraId="738D148B" w14:textId="5CE56147" w:rsidR="00607358" w:rsidRDefault="004D2E4D" w:rsidP="00426093">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Objective Personnel (Employee) Performance Measures</w:t>
            </w:r>
          </w:p>
        </w:tc>
        <w:tc>
          <w:tcPr>
            <w:tcW w:w="5032" w:type="dxa"/>
          </w:tcPr>
          <w:p w14:paraId="065A1495" w14:textId="656AFBF2" w:rsidR="00607358" w:rsidRDefault="00A154E1" w:rsidP="00A154E1">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154E1">
              <w:rPr>
                <w:rFonts w:eastAsia="Times New Roman" w:cs="Times New Roman"/>
                <w:color w:val="000000"/>
              </w:rPr>
              <w:t>This course covers how supervisors and employees can co-create objective performance measures for</w:t>
            </w:r>
            <w:r>
              <w:rPr>
                <w:rFonts w:eastAsia="Times New Roman" w:cs="Times New Roman"/>
                <w:color w:val="000000"/>
              </w:rPr>
              <w:t xml:space="preserve"> </w:t>
            </w:r>
            <w:r w:rsidRPr="00A154E1">
              <w:rPr>
                <w:rFonts w:eastAsia="Times New Roman" w:cs="Times New Roman"/>
                <w:color w:val="000000"/>
              </w:rPr>
              <w:t>the individual and use the measures in performance appraisal to drive success, identify improvement,</w:t>
            </w:r>
            <w:r>
              <w:rPr>
                <w:rFonts w:eastAsia="Times New Roman" w:cs="Times New Roman"/>
                <w:color w:val="000000"/>
              </w:rPr>
              <w:t xml:space="preserve"> </w:t>
            </w:r>
            <w:r w:rsidRPr="00A154E1">
              <w:rPr>
                <w:rFonts w:eastAsia="Times New Roman" w:cs="Times New Roman"/>
                <w:color w:val="000000"/>
              </w:rPr>
              <w:t xml:space="preserve">and </w:t>
            </w:r>
            <w:r w:rsidRPr="00A154E1">
              <w:rPr>
                <w:rFonts w:eastAsia="Times New Roman" w:cs="Times New Roman"/>
                <w:color w:val="000000"/>
              </w:rPr>
              <w:t xml:space="preserve">distinguish </w:t>
            </w:r>
            <w:r>
              <w:rPr>
                <w:rFonts w:eastAsia="Times New Roman" w:cs="Times New Roman"/>
                <w:color w:val="000000"/>
              </w:rPr>
              <w:t>performance</w:t>
            </w:r>
            <w:r w:rsidRPr="00A154E1">
              <w:rPr>
                <w:rFonts w:eastAsia="Times New Roman" w:cs="Times New Roman"/>
                <w:color w:val="000000"/>
              </w:rPr>
              <w:t xml:space="preserve"> for incentive, or bonus, programs. Participants will review a proven</w:t>
            </w:r>
            <w:r>
              <w:rPr>
                <w:rFonts w:eastAsia="Times New Roman" w:cs="Times New Roman"/>
                <w:color w:val="000000"/>
              </w:rPr>
              <w:t xml:space="preserve"> </w:t>
            </w:r>
            <w:r w:rsidRPr="00A154E1">
              <w:rPr>
                <w:rFonts w:eastAsia="Times New Roman" w:cs="Times New Roman"/>
                <w:color w:val="000000"/>
              </w:rPr>
              <w:t>process for creating objective measures that are aligned to organizational goals and strategy, how to</w:t>
            </w:r>
            <w:r>
              <w:rPr>
                <w:rFonts w:eastAsia="Times New Roman" w:cs="Times New Roman"/>
                <w:color w:val="000000"/>
              </w:rPr>
              <w:t xml:space="preserve"> </w:t>
            </w:r>
            <w:r w:rsidRPr="00A154E1">
              <w:rPr>
                <w:rFonts w:eastAsia="Times New Roman" w:cs="Times New Roman"/>
                <w:color w:val="000000"/>
              </w:rPr>
              <w:t>address performance issues, and will have an action plan for improving performance discussions.</w:t>
            </w:r>
          </w:p>
        </w:tc>
      </w:tr>
      <w:tr w:rsidR="00A154E1" w14:paraId="66EA4B13" w14:textId="77777777" w:rsidTr="0072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14:paraId="73A1398F" w14:textId="5EBBD913" w:rsidR="00A154E1" w:rsidRDefault="000C0463" w:rsidP="00426093">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Performance vs. Conduct</w:t>
            </w:r>
          </w:p>
        </w:tc>
        <w:tc>
          <w:tcPr>
            <w:tcW w:w="5032" w:type="dxa"/>
          </w:tcPr>
          <w:p w14:paraId="0B2A0ABA" w14:textId="29AE9D65" w:rsidR="00A154E1" w:rsidRPr="00A154E1" w:rsidRDefault="000C0463" w:rsidP="000C0463">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0C0463">
              <w:rPr>
                <w:rFonts w:eastAsia="Times New Roman" w:cs="Times New Roman"/>
                <w:color w:val="000000"/>
              </w:rPr>
              <w:t>This course deals with confronting “poor performance” and understanding whether it is performance</w:t>
            </w:r>
            <w:r>
              <w:rPr>
                <w:rFonts w:eastAsia="Times New Roman" w:cs="Times New Roman"/>
                <w:color w:val="000000"/>
              </w:rPr>
              <w:t xml:space="preserve"> </w:t>
            </w:r>
            <w:r w:rsidRPr="000C0463">
              <w:rPr>
                <w:rFonts w:eastAsia="Times New Roman" w:cs="Times New Roman"/>
                <w:color w:val="000000"/>
              </w:rPr>
              <w:t>or conduct. The course examines the difference between performance and conduct and how to</w:t>
            </w:r>
            <w:r>
              <w:rPr>
                <w:rFonts w:eastAsia="Times New Roman" w:cs="Times New Roman"/>
                <w:color w:val="000000"/>
              </w:rPr>
              <w:t xml:space="preserve"> </w:t>
            </w:r>
            <w:r w:rsidRPr="000C0463">
              <w:rPr>
                <w:rFonts w:eastAsia="Times New Roman" w:cs="Times New Roman"/>
                <w:color w:val="000000"/>
              </w:rPr>
              <w:t>successfully navigate regulations to protect the manager and employee with the intent to improve</w:t>
            </w:r>
            <w:r>
              <w:rPr>
                <w:rFonts w:eastAsia="Times New Roman" w:cs="Times New Roman"/>
                <w:color w:val="000000"/>
              </w:rPr>
              <w:t xml:space="preserve"> </w:t>
            </w:r>
            <w:r w:rsidRPr="000C0463">
              <w:rPr>
                <w:rFonts w:eastAsia="Times New Roman" w:cs="Times New Roman"/>
                <w:color w:val="000000"/>
              </w:rPr>
              <w:t>performance.</w:t>
            </w:r>
          </w:p>
        </w:tc>
      </w:tr>
      <w:tr w:rsidR="000C0463" w14:paraId="11644C2F" w14:textId="77777777" w:rsidTr="00722244">
        <w:tc>
          <w:tcPr>
            <w:cnfStyle w:val="001000000000" w:firstRow="0" w:lastRow="0" w:firstColumn="1" w:lastColumn="0" w:oddVBand="0" w:evenVBand="0" w:oddHBand="0" w:evenHBand="0" w:firstRowFirstColumn="0" w:firstRowLastColumn="0" w:lastRowFirstColumn="0" w:lastRowLastColumn="0"/>
            <w:tcW w:w="4318" w:type="dxa"/>
          </w:tcPr>
          <w:p w14:paraId="3B8E8944" w14:textId="32E93C2B" w:rsidR="000C0463" w:rsidRDefault="000C0463" w:rsidP="00426093">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Organizational Resilience – Overcoming Organizational Trauma</w:t>
            </w:r>
          </w:p>
        </w:tc>
        <w:tc>
          <w:tcPr>
            <w:tcW w:w="5032" w:type="dxa"/>
          </w:tcPr>
          <w:p w14:paraId="6634C487" w14:textId="01AB0F40" w:rsidR="000C0463" w:rsidRPr="000C0463" w:rsidRDefault="003473F4" w:rsidP="003473F4">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3473F4">
              <w:rPr>
                <w:rFonts w:eastAsia="Times New Roman" w:cs="Times New Roman"/>
                <w:color w:val="000000"/>
              </w:rPr>
              <w:t>This course focuses on organizations that have been hindered through bad leadership, scandal,</w:t>
            </w:r>
            <w:r>
              <w:rPr>
                <w:rFonts w:eastAsia="Times New Roman" w:cs="Times New Roman"/>
                <w:color w:val="000000"/>
              </w:rPr>
              <w:t xml:space="preserve"> </w:t>
            </w:r>
            <w:r w:rsidRPr="003473F4">
              <w:rPr>
                <w:rFonts w:eastAsia="Times New Roman" w:cs="Times New Roman"/>
                <w:color w:val="000000"/>
              </w:rPr>
              <w:t>significant budget reductions, interpersonal conflicts, and other situations that create a toxic</w:t>
            </w:r>
            <w:r>
              <w:rPr>
                <w:rFonts w:eastAsia="Times New Roman" w:cs="Times New Roman"/>
                <w:color w:val="000000"/>
              </w:rPr>
              <w:t xml:space="preserve"> </w:t>
            </w:r>
            <w:r w:rsidRPr="003473F4">
              <w:rPr>
                <w:rFonts w:eastAsia="Times New Roman" w:cs="Times New Roman"/>
                <w:color w:val="000000"/>
              </w:rPr>
              <w:t>environment. The course covers how to honor the past of what the organization has accomplished,</w:t>
            </w:r>
            <w:r>
              <w:rPr>
                <w:rFonts w:eastAsia="Times New Roman" w:cs="Times New Roman"/>
                <w:color w:val="000000"/>
              </w:rPr>
              <w:t xml:space="preserve"> </w:t>
            </w:r>
            <w:r w:rsidRPr="003473F4">
              <w:rPr>
                <w:rFonts w:eastAsia="Times New Roman" w:cs="Times New Roman"/>
                <w:color w:val="000000"/>
              </w:rPr>
              <w:t>how to move past the trauma as an organization, how to help individuals cope with the trauma and</w:t>
            </w:r>
            <w:r>
              <w:rPr>
                <w:rFonts w:eastAsia="Times New Roman" w:cs="Times New Roman"/>
                <w:color w:val="000000"/>
              </w:rPr>
              <w:t xml:space="preserve"> </w:t>
            </w:r>
            <w:r w:rsidRPr="003473F4">
              <w:rPr>
                <w:rFonts w:eastAsia="Times New Roman" w:cs="Times New Roman"/>
                <w:color w:val="000000"/>
              </w:rPr>
              <w:t>engage the future.</w:t>
            </w:r>
          </w:p>
        </w:tc>
      </w:tr>
      <w:tr w:rsidR="00AD54CE" w14:paraId="1B5C080F" w14:textId="77777777" w:rsidTr="0072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Pr>
          <w:p w14:paraId="1C429CB3" w14:textId="0DE56E6A" w:rsidR="00AD54CE" w:rsidRDefault="00AD54CE" w:rsidP="00426093">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t>Conducting a Training Needs Assessment</w:t>
            </w:r>
          </w:p>
        </w:tc>
        <w:tc>
          <w:tcPr>
            <w:tcW w:w="5032" w:type="dxa"/>
          </w:tcPr>
          <w:p w14:paraId="428249F5" w14:textId="08B4D3E0" w:rsidR="00AD54CE" w:rsidRDefault="00AD54CE" w:rsidP="003473F4">
            <w:pPr>
              <w:tabs>
                <w:tab w:val="left" w:pos="1080"/>
                <w:tab w:val="left" w:pos="2160"/>
                <w:tab w:val="left" w:pos="2520"/>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The course provides HR and Training specialists with the process for conducting an effective enterprise-wide training needs assessment and how to convert the data </w:t>
            </w:r>
            <w:r>
              <w:rPr>
                <w:rFonts w:eastAsia="Times New Roman" w:cs="Times New Roman"/>
                <w:color w:val="000000"/>
              </w:rPr>
              <w:lastRenderedPageBreak/>
              <w:t>into a portfolio of training, education, and coaching opportunities to develop the workforce and provide organization-wide learning.</w:t>
            </w:r>
          </w:p>
        </w:tc>
      </w:tr>
      <w:tr w:rsidR="00D42077" w14:paraId="0AB1C3A4" w14:textId="77777777" w:rsidTr="00722244">
        <w:tc>
          <w:tcPr>
            <w:cnfStyle w:val="001000000000" w:firstRow="0" w:lastRow="0" w:firstColumn="1" w:lastColumn="0" w:oddVBand="0" w:evenVBand="0" w:oddHBand="0" w:evenHBand="0" w:firstRowFirstColumn="0" w:firstRowLastColumn="0" w:lastRowFirstColumn="0" w:lastRowLastColumn="0"/>
            <w:tcW w:w="4318" w:type="dxa"/>
          </w:tcPr>
          <w:p w14:paraId="17E62340" w14:textId="5CB0ACCE" w:rsidR="00D42077" w:rsidRDefault="00D42077" w:rsidP="00426093">
            <w:pPr>
              <w:pStyle w:val="ListParagraph"/>
              <w:tabs>
                <w:tab w:val="left" w:pos="1080"/>
                <w:tab w:val="left" w:pos="2160"/>
                <w:tab w:val="left" w:pos="2520"/>
              </w:tabs>
              <w:ind w:left="0"/>
              <w:rPr>
                <w:rFonts w:eastAsia="Times New Roman" w:cs="Times New Roman"/>
                <w:color w:val="000000"/>
              </w:rPr>
            </w:pPr>
            <w:r>
              <w:rPr>
                <w:rFonts w:eastAsia="Times New Roman" w:cs="Times New Roman"/>
                <w:color w:val="000000"/>
              </w:rPr>
              <w:lastRenderedPageBreak/>
              <w:t>Evaluating Training and Education Courses</w:t>
            </w:r>
          </w:p>
        </w:tc>
        <w:tc>
          <w:tcPr>
            <w:tcW w:w="5032" w:type="dxa"/>
          </w:tcPr>
          <w:p w14:paraId="72E307DE" w14:textId="0087CADB" w:rsidR="00D42077" w:rsidRPr="003473F4" w:rsidRDefault="00D42077" w:rsidP="003473F4">
            <w:pPr>
              <w:tabs>
                <w:tab w:val="left" w:pos="1080"/>
                <w:tab w:val="left" w:pos="2160"/>
                <w:tab w:val="left" w:pos="2520"/>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This course provides HR and Training specialists with a variety of ways to measure the effectiveness of organizational learning initiatives.  The course examines distinguishing between effectiveness of training and training effectiveness, reviews approaches to measuring return on investment, and applying </w:t>
            </w:r>
            <w:r w:rsidR="00AD54CE">
              <w:rPr>
                <w:rFonts w:eastAsia="Times New Roman" w:cs="Times New Roman"/>
                <w:color w:val="000000"/>
              </w:rPr>
              <w:t>emerging evaluation methodologies to the formal and informal learning.</w:t>
            </w:r>
          </w:p>
        </w:tc>
      </w:tr>
    </w:tbl>
    <w:p w14:paraId="4F5FB45C" w14:textId="25970564" w:rsidR="00114213" w:rsidRDefault="00114213" w:rsidP="00426093">
      <w:pPr>
        <w:pStyle w:val="ListParagraph"/>
        <w:tabs>
          <w:tab w:val="left" w:pos="1080"/>
          <w:tab w:val="left" w:pos="2160"/>
          <w:tab w:val="left" w:pos="2520"/>
        </w:tabs>
        <w:ind w:left="4320"/>
        <w:rPr>
          <w:rFonts w:eastAsia="Times New Roman" w:cs="Times New Roman"/>
          <w:color w:val="000000"/>
        </w:rPr>
      </w:pPr>
    </w:p>
    <w:p w14:paraId="2DB68A3F" w14:textId="2E2A6A0E" w:rsidR="00114213" w:rsidRDefault="007C3235" w:rsidP="00114213">
      <w:pPr>
        <w:pStyle w:val="ListParagraph"/>
        <w:tabs>
          <w:tab w:val="left" w:pos="1080"/>
          <w:tab w:val="left" w:pos="2160"/>
          <w:tab w:val="left" w:pos="2520"/>
        </w:tabs>
        <w:ind w:left="0"/>
        <w:jc w:val="both"/>
        <w:rPr>
          <w:rFonts w:eastAsia="Times New Roman" w:cs="Times New Roman"/>
          <w:color w:val="000000"/>
        </w:rPr>
      </w:pPr>
      <w:r>
        <w:rPr>
          <w:rFonts w:eastAsia="Times New Roman" w:cs="Times New Roman"/>
          <w:color w:val="000000"/>
        </w:rPr>
        <w:t xml:space="preserve">IPA also offers courses based upon specific assessment tools.  The courses provide participants with individual and group assessments (where possible), with individual and team debriefings and action planning around how to improve the organizational environment based upon the data.  Current </w:t>
      </w:r>
      <w:proofErr w:type="gramStart"/>
      <w:r>
        <w:rPr>
          <w:rFonts w:eastAsia="Times New Roman" w:cs="Times New Roman"/>
          <w:color w:val="000000"/>
        </w:rPr>
        <w:t>tool based</w:t>
      </w:r>
      <w:proofErr w:type="gramEnd"/>
      <w:r>
        <w:rPr>
          <w:rFonts w:eastAsia="Times New Roman" w:cs="Times New Roman"/>
          <w:color w:val="000000"/>
        </w:rPr>
        <w:t xml:space="preserve"> courses include:</w:t>
      </w:r>
    </w:p>
    <w:p w14:paraId="2C336C76" w14:textId="77777777" w:rsidR="007A65C6" w:rsidRDefault="007A65C6" w:rsidP="00114213">
      <w:pPr>
        <w:pStyle w:val="ListParagraph"/>
        <w:tabs>
          <w:tab w:val="left" w:pos="1080"/>
          <w:tab w:val="left" w:pos="2160"/>
          <w:tab w:val="left" w:pos="2520"/>
        </w:tabs>
        <w:ind w:left="0"/>
        <w:jc w:val="both"/>
        <w:rPr>
          <w:rFonts w:eastAsia="Times New Roman" w:cs="Times New Roman"/>
          <w:color w:val="000000"/>
        </w:rPr>
      </w:pPr>
    </w:p>
    <w:p w14:paraId="38CB05CE" w14:textId="4E7F44EC" w:rsidR="007C3235" w:rsidRDefault="007C3235" w:rsidP="007C3235">
      <w:pPr>
        <w:pStyle w:val="ListParagraph"/>
        <w:numPr>
          <w:ilvl w:val="0"/>
          <w:numId w:val="10"/>
        </w:numPr>
        <w:tabs>
          <w:tab w:val="left" w:pos="1080"/>
          <w:tab w:val="left" w:pos="2160"/>
          <w:tab w:val="left" w:pos="2520"/>
        </w:tabs>
        <w:jc w:val="both"/>
        <w:rPr>
          <w:rFonts w:eastAsia="Times New Roman" w:cs="Times New Roman"/>
          <w:color w:val="000000"/>
        </w:rPr>
      </w:pPr>
      <w:r>
        <w:rPr>
          <w:rFonts w:eastAsia="Times New Roman" w:cs="Times New Roman"/>
          <w:color w:val="000000"/>
        </w:rPr>
        <w:t>Myers-Brings Type Indicator (and variations)</w:t>
      </w:r>
    </w:p>
    <w:p w14:paraId="72864716" w14:textId="0383EFC6" w:rsidR="007C3235" w:rsidRDefault="007C3235" w:rsidP="007C3235">
      <w:pPr>
        <w:pStyle w:val="ListParagraph"/>
        <w:numPr>
          <w:ilvl w:val="0"/>
          <w:numId w:val="10"/>
        </w:numPr>
        <w:tabs>
          <w:tab w:val="left" w:pos="1080"/>
          <w:tab w:val="left" w:pos="2160"/>
          <w:tab w:val="left" w:pos="2520"/>
        </w:tabs>
        <w:jc w:val="both"/>
        <w:rPr>
          <w:rFonts w:eastAsia="Times New Roman" w:cs="Times New Roman"/>
          <w:color w:val="000000"/>
        </w:rPr>
      </w:pPr>
      <w:proofErr w:type="spellStart"/>
      <w:r>
        <w:rPr>
          <w:rFonts w:eastAsia="Times New Roman" w:cs="Times New Roman"/>
          <w:color w:val="000000"/>
        </w:rPr>
        <w:t>DiSC</w:t>
      </w:r>
      <w:proofErr w:type="spellEnd"/>
      <w:r>
        <w:rPr>
          <w:rFonts w:eastAsia="Times New Roman" w:cs="Times New Roman"/>
          <w:color w:val="000000"/>
        </w:rPr>
        <w:t xml:space="preserve"> (and its variations)</w:t>
      </w:r>
    </w:p>
    <w:p w14:paraId="779230D4" w14:textId="27BB77FB" w:rsidR="007C3235" w:rsidRDefault="007C3235" w:rsidP="007C3235">
      <w:pPr>
        <w:pStyle w:val="ListParagraph"/>
        <w:numPr>
          <w:ilvl w:val="0"/>
          <w:numId w:val="10"/>
        </w:numPr>
        <w:tabs>
          <w:tab w:val="left" w:pos="1080"/>
          <w:tab w:val="left" w:pos="2160"/>
          <w:tab w:val="left" w:pos="2520"/>
        </w:tabs>
        <w:jc w:val="both"/>
        <w:rPr>
          <w:rFonts w:eastAsia="Times New Roman" w:cs="Times New Roman"/>
          <w:color w:val="000000"/>
        </w:rPr>
      </w:pPr>
      <w:r>
        <w:rPr>
          <w:rFonts w:eastAsia="Times New Roman" w:cs="Times New Roman"/>
          <w:color w:val="000000"/>
        </w:rPr>
        <w:t>7 Habits of Highly Effective People</w:t>
      </w:r>
    </w:p>
    <w:p w14:paraId="5DF6A595" w14:textId="45CD70A5" w:rsidR="007C3235" w:rsidRDefault="007C3235" w:rsidP="007C3235">
      <w:pPr>
        <w:pStyle w:val="ListParagraph"/>
        <w:numPr>
          <w:ilvl w:val="0"/>
          <w:numId w:val="10"/>
        </w:numPr>
        <w:tabs>
          <w:tab w:val="left" w:pos="1080"/>
          <w:tab w:val="left" w:pos="2160"/>
          <w:tab w:val="left" w:pos="2520"/>
        </w:tabs>
        <w:jc w:val="both"/>
        <w:rPr>
          <w:rFonts w:eastAsia="Times New Roman" w:cs="Times New Roman"/>
          <w:color w:val="000000"/>
        </w:rPr>
      </w:pPr>
      <w:r>
        <w:rPr>
          <w:rFonts w:eastAsia="Times New Roman" w:cs="Times New Roman"/>
          <w:color w:val="000000"/>
        </w:rPr>
        <w:t>Gallup Q-12 Employee Engagement</w:t>
      </w:r>
    </w:p>
    <w:p w14:paraId="75674726" w14:textId="4F498B70" w:rsidR="007C3235" w:rsidRDefault="007C3235" w:rsidP="007C3235">
      <w:pPr>
        <w:pStyle w:val="ListParagraph"/>
        <w:numPr>
          <w:ilvl w:val="0"/>
          <w:numId w:val="10"/>
        </w:numPr>
        <w:tabs>
          <w:tab w:val="left" w:pos="1080"/>
          <w:tab w:val="left" w:pos="2160"/>
          <w:tab w:val="left" w:pos="2520"/>
        </w:tabs>
        <w:jc w:val="both"/>
        <w:rPr>
          <w:rFonts w:eastAsia="Times New Roman" w:cs="Times New Roman"/>
          <w:color w:val="000000"/>
        </w:rPr>
      </w:pPr>
      <w:proofErr w:type="spellStart"/>
      <w:r>
        <w:rPr>
          <w:rFonts w:eastAsia="Times New Roman" w:cs="Times New Roman"/>
          <w:color w:val="000000"/>
        </w:rPr>
        <w:t>StrengthsFinders</w:t>
      </w:r>
      <w:proofErr w:type="spellEnd"/>
      <w:r>
        <w:rPr>
          <w:rFonts w:eastAsia="Times New Roman" w:cs="Times New Roman"/>
          <w:color w:val="000000"/>
        </w:rPr>
        <w:t xml:space="preserve"> 2.0</w:t>
      </w:r>
    </w:p>
    <w:p w14:paraId="5377146A" w14:textId="17EA5DF4" w:rsidR="007C3235" w:rsidRDefault="007C3235" w:rsidP="007C3235">
      <w:pPr>
        <w:pStyle w:val="ListParagraph"/>
        <w:numPr>
          <w:ilvl w:val="0"/>
          <w:numId w:val="10"/>
        </w:numPr>
        <w:tabs>
          <w:tab w:val="left" w:pos="1080"/>
          <w:tab w:val="left" w:pos="2160"/>
          <w:tab w:val="left" w:pos="2520"/>
        </w:tabs>
        <w:jc w:val="both"/>
        <w:rPr>
          <w:rFonts w:eastAsia="Times New Roman" w:cs="Times New Roman"/>
          <w:color w:val="000000"/>
        </w:rPr>
      </w:pPr>
      <w:r>
        <w:rPr>
          <w:rFonts w:eastAsia="Times New Roman" w:cs="Times New Roman"/>
          <w:color w:val="000000"/>
        </w:rPr>
        <w:t>Mind-Mapping</w:t>
      </w:r>
    </w:p>
    <w:p w14:paraId="152317C2" w14:textId="77777777" w:rsidR="007A65C6" w:rsidRDefault="007A65C6" w:rsidP="007A65C6">
      <w:pPr>
        <w:pStyle w:val="ListParagraph"/>
        <w:tabs>
          <w:tab w:val="left" w:pos="1080"/>
          <w:tab w:val="left" w:pos="2160"/>
          <w:tab w:val="left" w:pos="2520"/>
        </w:tabs>
        <w:ind w:left="1080"/>
        <w:jc w:val="both"/>
        <w:rPr>
          <w:rFonts w:eastAsia="Times New Roman" w:cs="Times New Roman"/>
          <w:color w:val="000000"/>
        </w:rPr>
      </w:pPr>
    </w:p>
    <w:p w14:paraId="13DAD9C6" w14:textId="121AEB0C" w:rsidR="00426093" w:rsidRDefault="009977F7" w:rsidP="009977F7">
      <w:pPr>
        <w:pStyle w:val="Heading1"/>
        <w:rPr>
          <w:rFonts w:eastAsia="Times New Roman"/>
        </w:rPr>
      </w:pPr>
      <w:bookmarkStart w:id="6" w:name="_Toc79495202"/>
      <w:r>
        <w:rPr>
          <w:rFonts w:eastAsia="Times New Roman"/>
        </w:rPr>
        <w:t>Upcoming Courses</w:t>
      </w:r>
      <w:bookmarkEnd w:id="6"/>
    </w:p>
    <w:p w14:paraId="49D66137" w14:textId="77777777" w:rsidR="007A65C6" w:rsidRDefault="007A65C6" w:rsidP="00175456">
      <w:r>
        <w:t>IPA clients may also access other courses related to building a healthy, equitable, high-performing workplace.  The courses listed below are available through IPA partner organizations.  IPA is also currently developing its own courses in these areas as well.</w:t>
      </w:r>
    </w:p>
    <w:tbl>
      <w:tblPr>
        <w:tblStyle w:val="GridTable4-Accent1"/>
        <w:tblW w:w="0" w:type="auto"/>
        <w:tblLook w:val="04A0" w:firstRow="1" w:lastRow="0" w:firstColumn="1" w:lastColumn="0" w:noHBand="0" w:noVBand="1"/>
      </w:tblPr>
      <w:tblGrid>
        <w:gridCol w:w="4675"/>
        <w:gridCol w:w="4675"/>
      </w:tblGrid>
      <w:tr w:rsidR="001C1E06" w14:paraId="15E250C4" w14:textId="77777777" w:rsidTr="00EB5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87B5D5" w14:textId="043DB652" w:rsidR="001C1E06" w:rsidRDefault="001C1E06" w:rsidP="00175456">
            <w:r>
              <w:t>Courses for Individual Development</w:t>
            </w:r>
          </w:p>
        </w:tc>
        <w:tc>
          <w:tcPr>
            <w:tcW w:w="4675" w:type="dxa"/>
          </w:tcPr>
          <w:p w14:paraId="55576C4B" w14:textId="6E5AD939" w:rsidR="001C1E06" w:rsidRDefault="001C1E06" w:rsidP="00175456">
            <w:pPr>
              <w:cnfStyle w:val="100000000000" w:firstRow="1" w:lastRow="0" w:firstColumn="0" w:lastColumn="0" w:oddVBand="0" w:evenVBand="0" w:oddHBand="0" w:evenHBand="0" w:firstRowFirstColumn="0" w:firstRowLastColumn="0" w:lastRowFirstColumn="0" w:lastRowLastColumn="0"/>
            </w:pPr>
            <w:r>
              <w:t>Courses for Effective Organizations</w:t>
            </w:r>
          </w:p>
        </w:tc>
      </w:tr>
      <w:tr w:rsidR="001C1E06" w14:paraId="316654BF" w14:textId="77777777" w:rsidTr="00EB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A6799C" w14:textId="77777777" w:rsidR="001C1E06" w:rsidRPr="00EB5A6F" w:rsidRDefault="001C1E06" w:rsidP="001C1E06">
            <w:pPr>
              <w:pStyle w:val="ListParagraph"/>
              <w:numPr>
                <w:ilvl w:val="0"/>
                <w:numId w:val="12"/>
              </w:numPr>
              <w:spacing w:after="0" w:line="240" w:lineRule="auto"/>
              <w:rPr>
                <w:b w:val="0"/>
                <w:bCs w:val="0"/>
              </w:rPr>
            </w:pPr>
            <w:r w:rsidRPr="00EB5A6F">
              <w:rPr>
                <w:b w:val="0"/>
                <w:bCs w:val="0"/>
              </w:rPr>
              <w:t>Micro-Inequities and Unconscious Bias</w:t>
            </w:r>
          </w:p>
          <w:p w14:paraId="41E2CE14" w14:textId="77777777" w:rsidR="001C1E06" w:rsidRPr="00EB5A6F" w:rsidRDefault="001C1E06" w:rsidP="001C1E06">
            <w:pPr>
              <w:pStyle w:val="ListParagraph"/>
              <w:numPr>
                <w:ilvl w:val="0"/>
                <w:numId w:val="12"/>
              </w:numPr>
              <w:spacing w:after="0" w:line="240" w:lineRule="auto"/>
              <w:rPr>
                <w:b w:val="0"/>
                <w:bCs w:val="0"/>
              </w:rPr>
            </w:pPr>
            <w:r w:rsidRPr="00EB5A6F">
              <w:rPr>
                <w:b w:val="0"/>
                <w:bCs w:val="0"/>
              </w:rPr>
              <w:t>Strengths Based Leadership</w:t>
            </w:r>
          </w:p>
          <w:p w14:paraId="149DAD32" w14:textId="369BAB86" w:rsidR="001C1E06" w:rsidRPr="00EB5A6F" w:rsidRDefault="001C1E06" w:rsidP="001C1E06">
            <w:pPr>
              <w:pStyle w:val="ListParagraph"/>
              <w:numPr>
                <w:ilvl w:val="0"/>
                <w:numId w:val="12"/>
              </w:numPr>
              <w:spacing w:after="0" w:line="240" w:lineRule="auto"/>
              <w:rPr>
                <w:b w:val="0"/>
                <w:bCs w:val="0"/>
              </w:rPr>
            </w:pPr>
            <w:r w:rsidRPr="00EB5A6F">
              <w:rPr>
                <w:b w:val="0"/>
                <w:bCs w:val="0"/>
              </w:rPr>
              <w:t>Leading with Emotional Intelligence</w:t>
            </w:r>
          </w:p>
          <w:p w14:paraId="0D100FC5" w14:textId="0C421E50" w:rsidR="009E4F88" w:rsidRPr="00EB5A6F" w:rsidRDefault="009E4F88" w:rsidP="001C1E06">
            <w:pPr>
              <w:pStyle w:val="ListParagraph"/>
              <w:numPr>
                <w:ilvl w:val="0"/>
                <w:numId w:val="12"/>
              </w:numPr>
              <w:spacing w:after="0" w:line="240" w:lineRule="auto"/>
              <w:rPr>
                <w:b w:val="0"/>
                <w:bCs w:val="0"/>
              </w:rPr>
            </w:pPr>
            <w:r w:rsidRPr="00EB5A6F">
              <w:rPr>
                <w:b w:val="0"/>
                <w:bCs w:val="0"/>
              </w:rPr>
              <w:t>Leading by Question</w:t>
            </w:r>
          </w:p>
          <w:p w14:paraId="4DD318A1" w14:textId="77777777" w:rsidR="001C1E06" w:rsidRPr="00EB5A6F" w:rsidRDefault="009E4F88" w:rsidP="001C1E06">
            <w:pPr>
              <w:pStyle w:val="ListParagraph"/>
              <w:numPr>
                <w:ilvl w:val="0"/>
                <w:numId w:val="12"/>
              </w:numPr>
              <w:spacing w:after="0" w:line="240" w:lineRule="auto"/>
              <w:rPr>
                <w:b w:val="0"/>
                <w:bCs w:val="0"/>
              </w:rPr>
            </w:pPr>
            <w:r w:rsidRPr="00EB5A6F">
              <w:rPr>
                <w:b w:val="0"/>
                <w:bCs w:val="0"/>
              </w:rPr>
              <w:t>Critical Thinking Skills</w:t>
            </w:r>
          </w:p>
          <w:p w14:paraId="64A76094" w14:textId="77777777" w:rsidR="009E4F88" w:rsidRPr="00EB5A6F" w:rsidRDefault="009E4F88" w:rsidP="001C1E06">
            <w:pPr>
              <w:pStyle w:val="ListParagraph"/>
              <w:numPr>
                <w:ilvl w:val="0"/>
                <w:numId w:val="12"/>
              </w:numPr>
              <w:spacing w:after="0" w:line="240" w:lineRule="auto"/>
              <w:rPr>
                <w:b w:val="0"/>
                <w:bCs w:val="0"/>
              </w:rPr>
            </w:pPr>
            <w:r w:rsidRPr="00EB5A6F">
              <w:rPr>
                <w:b w:val="0"/>
                <w:bCs w:val="0"/>
              </w:rPr>
              <w:t>Stress Management</w:t>
            </w:r>
          </w:p>
          <w:p w14:paraId="264128AD" w14:textId="35CE5F29" w:rsidR="009E4F88" w:rsidRDefault="00EB5A6F" w:rsidP="001C1E06">
            <w:pPr>
              <w:pStyle w:val="ListParagraph"/>
              <w:numPr>
                <w:ilvl w:val="0"/>
                <w:numId w:val="12"/>
              </w:numPr>
              <w:spacing w:after="0" w:line="240" w:lineRule="auto"/>
            </w:pPr>
            <w:r w:rsidRPr="00EB5A6F">
              <w:rPr>
                <w:b w:val="0"/>
                <w:bCs w:val="0"/>
              </w:rPr>
              <w:t>Time Management to Achieve Maximum Productivity</w:t>
            </w:r>
          </w:p>
        </w:tc>
        <w:tc>
          <w:tcPr>
            <w:tcW w:w="4675" w:type="dxa"/>
          </w:tcPr>
          <w:p w14:paraId="4C6611E9" w14:textId="6F1A3485" w:rsidR="001C1E06" w:rsidRDefault="001C1E06" w:rsidP="001C1E0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pPr>
            <w:r>
              <w:t>Building and Sustaining Teams</w:t>
            </w:r>
          </w:p>
          <w:p w14:paraId="6193BAA0" w14:textId="77777777" w:rsidR="001C1E06" w:rsidRDefault="001C1E06" w:rsidP="001C1E0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pPr>
            <w:r>
              <w:t>Motivating People/Employee Engagement</w:t>
            </w:r>
          </w:p>
          <w:p w14:paraId="1E2C63A8" w14:textId="77777777" w:rsidR="001C1E06" w:rsidRDefault="001C1E06" w:rsidP="001C1E0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pPr>
            <w:r>
              <w:t>Holding Difficult Conversations</w:t>
            </w:r>
          </w:p>
          <w:p w14:paraId="688479AE" w14:textId="49257C7D" w:rsidR="001C1E06" w:rsidRDefault="001C1E06" w:rsidP="001C1E0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pPr>
            <w:r>
              <w:t>Leading Effective Meetings</w:t>
            </w:r>
          </w:p>
          <w:p w14:paraId="3E25A406" w14:textId="4C40E5FE" w:rsidR="00EB5A6F" w:rsidRDefault="00EB5A6F" w:rsidP="001C1E0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pPr>
            <w:r>
              <w:t>Creating a Diversity, Equity, Inclusion and Access-Based Environment</w:t>
            </w:r>
          </w:p>
          <w:p w14:paraId="2CC2348A" w14:textId="4A47913D" w:rsidR="009E4F88" w:rsidRDefault="009E4F88" w:rsidP="001C1E06">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pPr>
            <w:r>
              <w:t>Organizational Culture Transformation</w:t>
            </w:r>
          </w:p>
        </w:tc>
      </w:tr>
    </w:tbl>
    <w:p w14:paraId="10263965" w14:textId="2CACC4C4" w:rsidR="00175456" w:rsidRDefault="00175456" w:rsidP="00175456">
      <w:r>
        <w:t xml:space="preserve"> </w:t>
      </w:r>
    </w:p>
    <w:p w14:paraId="135AE18F" w14:textId="208BE35F" w:rsidR="009E2B8D" w:rsidRDefault="009E2B8D" w:rsidP="00175456">
      <w:pPr>
        <w:autoSpaceDE w:val="0"/>
        <w:autoSpaceDN w:val="0"/>
        <w:adjustRightInd w:val="0"/>
        <w:spacing w:before="0" w:after="0" w:line="240" w:lineRule="auto"/>
      </w:pPr>
    </w:p>
    <w:p w14:paraId="319E84BC" w14:textId="2956F63E" w:rsidR="009E2B8D" w:rsidRDefault="009E2B8D" w:rsidP="00175456">
      <w:pPr>
        <w:autoSpaceDE w:val="0"/>
        <w:autoSpaceDN w:val="0"/>
        <w:adjustRightInd w:val="0"/>
        <w:spacing w:before="0" w:after="0" w:line="240" w:lineRule="auto"/>
      </w:pPr>
    </w:p>
    <w:p w14:paraId="3DBF6D47" w14:textId="4A1732BF" w:rsidR="000903F0" w:rsidRDefault="000903F0" w:rsidP="00175456">
      <w:pPr>
        <w:autoSpaceDE w:val="0"/>
        <w:autoSpaceDN w:val="0"/>
        <w:adjustRightInd w:val="0"/>
        <w:spacing w:before="0" w:after="0" w:line="240" w:lineRule="auto"/>
      </w:pPr>
    </w:p>
    <w:p w14:paraId="7702AFF6" w14:textId="12082046" w:rsidR="00722244" w:rsidRDefault="00722244" w:rsidP="00722244">
      <w:pPr>
        <w:pStyle w:val="Heading1"/>
      </w:pPr>
      <w:bookmarkStart w:id="7" w:name="_Toc79495203"/>
      <w:r>
        <w:lastRenderedPageBreak/>
        <w:t>Your Specific Needs</w:t>
      </w:r>
      <w:bookmarkEnd w:id="7"/>
    </w:p>
    <w:p w14:paraId="442AFC07" w14:textId="77777777" w:rsidR="00722244" w:rsidRPr="00EB5A6F" w:rsidRDefault="00722244" w:rsidP="00722244">
      <w:pPr>
        <w:rPr>
          <w:sz w:val="22"/>
          <w:szCs w:val="22"/>
        </w:rPr>
      </w:pPr>
      <w:r w:rsidRPr="00EB5A6F">
        <w:rPr>
          <w:sz w:val="22"/>
          <w:szCs w:val="22"/>
        </w:rPr>
        <w:t xml:space="preserve">Don’t see what you need?  Let us collaborate with you to create and establish the content your organization requires.  </w:t>
      </w:r>
    </w:p>
    <w:p w14:paraId="11D8F918" w14:textId="77777777" w:rsidR="00734F8B" w:rsidRDefault="00722244" w:rsidP="00722244">
      <w:pPr>
        <w:rPr>
          <w:sz w:val="22"/>
          <w:szCs w:val="22"/>
        </w:rPr>
      </w:pPr>
      <w:r w:rsidRPr="00EB5A6F">
        <w:rPr>
          <w:sz w:val="22"/>
          <w:szCs w:val="22"/>
        </w:rPr>
        <w:t>IPA is positioned to quickly develop hands-on, practical courses in most subject matters</w:t>
      </w:r>
      <w:r w:rsidR="00A62445">
        <w:rPr>
          <w:sz w:val="22"/>
          <w:szCs w:val="22"/>
        </w:rPr>
        <w:t xml:space="preserve"> related to organizational, programmatic, and people development</w:t>
      </w:r>
      <w:r w:rsidRPr="00EB5A6F">
        <w:rPr>
          <w:sz w:val="22"/>
          <w:szCs w:val="22"/>
        </w:rPr>
        <w:t xml:space="preserve">.  We use the ADDIE model for training development as well as have a network of professors, facilitators, trainers, and instructional designers, who can quickly </w:t>
      </w:r>
      <w:proofErr w:type="gramStart"/>
      <w:r w:rsidRPr="00EB5A6F">
        <w:rPr>
          <w:sz w:val="22"/>
          <w:szCs w:val="22"/>
        </w:rPr>
        <w:t>develop</w:t>
      </w:r>
      <w:proofErr w:type="gramEnd"/>
      <w:r w:rsidRPr="00EB5A6F">
        <w:rPr>
          <w:sz w:val="22"/>
          <w:szCs w:val="22"/>
        </w:rPr>
        <w:t xml:space="preserve"> and pilot test a course.  </w:t>
      </w:r>
    </w:p>
    <w:p w14:paraId="5CCADE64" w14:textId="4B2627FD" w:rsidR="00722244" w:rsidRPr="00EB5A6F" w:rsidRDefault="00722244" w:rsidP="00722244">
      <w:pPr>
        <w:rPr>
          <w:sz w:val="22"/>
          <w:szCs w:val="22"/>
        </w:rPr>
      </w:pPr>
      <w:r w:rsidRPr="00EB5A6F">
        <w:rPr>
          <w:sz w:val="22"/>
          <w:szCs w:val="22"/>
        </w:rPr>
        <w:t>If we work with you on development of a new course, we provide a significant funding discount.</w:t>
      </w:r>
    </w:p>
    <w:sectPr w:rsidR="00722244" w:rsidRPr="00EB5A6F" w:rsidSect="0017545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E6CC" w14:textId="77777777" w:rsidR="00A02FEC" w:rsidRDefault="00A02FEC" w:rsidP="00A02FEC">
      <w:pPr>
        <w:spacing w:before="0" w:after="0" w:line="240" w:lineRule="auto"/>
      </w:pPr>
      <w:r>
        <w:separator/>
      </w:r>
    </w:p>
  </w:endnote>
  <w:endnote w:type="continuationSeparator" w:id="0">
    <w:p w14:paraId="149D9F6A" w14:textId="77777777" w:rsidR="00A02FEC" w:rsidRDefault="00A02FEC" w:rsidP="00A02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30C" w14:textId="77777777" w:rsidR="00D37A7C" w:rsidRDefault="00D37A7C">
    <w:pPr>
      <w:pStyle w:val="Footer"/>
      <w:pBdr>
        <w:top w:val="single" w:sz="4" w:space="8" w:color="30ACEC"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B71CE28" w14:textId="77777777" w:rsidR="00A02FEC" w:rsidRDefault="00A0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A771" w14:textId="77777777" w:rsidR="00A02FEC" w:rsidRDefault="00A02FEC" w:rsidP="00A02FEC">
      <w:pPr>
        <w:spacing w:before="0" w:after="0" w:line="240" w:lineRule="auto"/>
      </w:pPr>
      <w:r>
        <w:separator/>
      </w:r>
    </w:p>
  </w:footnote>
  <w:footnote w:type="continuationSeparator" w:id="0">
    <w:p w14:paraId="12887DC9" w14:textId="77777777" w:rsidR="00A02FEC" w:rsidRDefault="00A02FEC" w:rsidP="00A02F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E0C"/>
    <w:multiLevelType w:val="hybridMultilevel"/>
    <w:tmpl w:val="01A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719C"/>
    <w:multiLevelType w:val="hybridMultilevel"/>
    <w:tmpl w:val="795C623A"/>
    <w:lvl w:ilvl="0" w:tplc="F44A6FD6">
      <w:numFmt w:val="bullet"/>
      <w:lvlText w:val="•"/>
      <w:lvlJc w:val="left"/>
      <w:pPr>
        <w:ind w:left="1080" w:hanging="108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34FD5"/>
    <w:multiLevelType w:val="hybridMultilevel"/>
    <w:tmpl w:val="D7A6AEE6"/>
    <w:lvl w:ilvl="0" w:tplc="F44A6FD6">
      <w:numFmt w:val="bullet"/>
      <w:lvlText w:val="•"/>
      <w:lvlJc w:val="left"/>
      <w:pPr>
        <w:ind w:left="1080" w:hanging="108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4F03"/>
    <w:multiLevelType w:val="hybridMultilevel"/>
    <w:tmpl w:val="F93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E45BD"/>
    <w:multiLevelType w:val="hybridMultilevel"/>
    <w:tmpl w:val="4E50DC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49AC0DDF"/>
    <w:multiLevelType w:val="hybridMultilevel"/>
    <w:tmpl w:val="B9B28AD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4C301C5A"/>
    <w:multiLevelType w:val="hybridMultilevel"/>
    <w:tmpl w:val="A2ECCA58"/>
    <w:lvl w:ilvl="0" w:tplc="F44A6FD6">
      <w:numFmt w:val="bullet"/>
      <w:lvlText w:val="•"/>
      <w:lvlJc w:val="left"/>
      <w:pPr>
        <w:ind w:left="1080" w:hanging="108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D360B"/>
    <w:multiLevelType w:val="hybridMultilevel"/>
    <w:tmpl w:val="22F46838"/>
    <w:lvl w:ilvl="0" w:tplc="F44A6FD6">
      <w:numFmt w:val="bullet"/>
      <w:lvlText w:val="•"/>
      <w:lvlJc w:val="left"/>
      <w:pPr>
        <w:ind w:left="1080" w:hanging="108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2C5C"/>
    <w:multiLevelType w:val="hybridMultilevel"/>
    <w:tmpl w:val="DF08DD22"/>
    <w:lvl w:ilvl="0" w:tplc="F44A6FD6">
      <w:numFmt w:val="bullet"/>
      <w:lvlText w:val="•"/>
      <w:lvlJc w:val="left"/>
      <w:pPr>
        <w:ind w:left="1080" w:hanging="108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A12E8"/>
    <w:multiLevelType w:val="hybridMultilevel"/>
    <w:tmpl w:val="07B60B46"/>
    <w:lvl w:ilvl="0" w:tplc="F44A6FD6">
      <w:numFmt w:val="bullet"/>
      <w:lvlText w:val="•"/>
      <w:lvlJc w:val="left"/>
      <w:pPr>
        <w:ind w:left="1080" w:hanging="1080"/>
      </w:pPr>
      <w:rPr>
        <w:rFonts w:ascii="Corbel" w:eastAsia="Times New Roman" w:hAnsi="Corbe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3465CB"/>
    <w:multiLevelType w:val="hybridMultilevel"/>
    <w:tmpl w:val="E192391C"/>
    <w:lvl w:ilvl="0" w:tplc="F44A6FD6">
      <w:numFmt w:val="bullet"/>
      <w:lvlText w:val="•"/>
      <w:lvlJc w:val="left"/>
      <w:pPr>
        <w:ind w:left="1080" w:hanging="108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27645"/>
    <w:multiLevelType w:val="hybridMultilevel"/>
    <w:tmpl w:val="F3E2A9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3"/>
  </w:num>
  <w:num w:numId="6">
    <w:abstractNumId w:val="9"/>
  </w:num>
  <w:num w:numId="7">
    <w:abstractNumId w:val="1"/>
  </w:num>
  <w:num w:numId="8">
    <w:abstractNumId w:val="2"/>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56"/>
    <w:rsid w:val="00016FD3"/>
    <w:rsid w:val="000805D9"/>
    <w:rsid w:val="00083A8A"/>
    <w:rsid w:val="00087247"/>
    <w:rsid w:val="000903F0"/>
    <w:rsid w:val="00091821"/>
    <w:rsid w:val="00092577"/>
    <w:rsid w:val="000C0463"/>
    <w:rsid w:val="000D4AA6"/>
    <w:rsid w:val="000D7740"/>
    <w:rsid w:val="00112561"/>
    <w:rsid w:val="001125D4"/>
    <w:rsid w:val="00114213"/>
    <w:rsid w:val="00136F06"/>
    <w:rsid w:val="00136F70"/>
    <w:rsid w:val="00175456"/>
    <w:rsid w:val="001757EE"/>
    <w:rsid w:val="001B218A"/>
    <w:rsid w:val="001C1E06"/>
    <w:rsid w:val="001C4D04"/>
    <w:rsid w:val="001D1AA9"/>
    <w:rsid w:val="001E6D2F"/>
    <w:rsid w:val="00216153"/>
    <w:rsid w:val="00224FA5"/>
    <w:rsid w:val="00240655"/>
    <w:rsid w:val="00281D45"/>
    <w:rsid w:val="00297B0E"/>
    <w:rsid w:val="002A3567"/>
    <w:rsid w:val="002A7CD7"/>
    <w:rsid w:val="002C67D7"/>
    <w:rsid w:val="002D13E3"/>
    <w:rsid w:val="002F7404"/>
    <w:rsid w:val="00304FAB"/>
    <w:rsid w:val="003413C7"/>
    <w:rsid w:val="003458ED"/>
    <w:rsid w:val="003473F4"/>
    <w:rsid w:val="00355887"/>
    <w:rsid w:val="003823EC"/>
    <w:rsid w:val="00397E38"/>
    <w:rsid w:val="003A5B4A"/>
    <w:rsid w:val="003B5953"/>
    <w:rsid w:val="003C4544"/>
    <w:rsid w:val="003F4BD8"/>
    <w:rsid w:val="00426093"/>
    <w:rsid w:val="00427736"/>
    <w:rsid w:val="00443960"/>
    <w:rsid w:val="00471836"/>
    <w:rsid w:val="004879B9"/>
    <w:rsid w:val="004A4F05"/>
    <w:rsid w:val="004C28F4"/>
    <w:rsid w:val="004C5A94"/>
    <w:rsid w:val="004D2E4D"/>
    <w:rsid w:val="00512400"/>
    <w:rsid w:val="00531041"/>
    <w:rsid w:val="005477E4"/>
    <w:rsid w:val="005665AC"/>
    <w:rsid w:val="00577672"/>
    <w:rsid w:val="00590865"/>
    <w:rsid w:val="005A2EC5"/>
    <w:rsid w:val="005A5B84"/>
    <w:rsid w:val="005B6DB6"/>
    <w:rsid w:val="005D4AE5"/>
    <w:rsid w:val="005E1D52"/>
    <w:rsid w:val="00607358"/>
    <w:rsid w:val="00643B62"/>
    <w:rsid w:val="006B5237"/>
    <w:rsid w:val="00715944"/>
    <w:rsid w:val="00722244"/>
    <w:rsid w:val="007333FE"/>
    <w:rsid w:val="00734D39"/>
    <w:rsid w:val="00734E85"/>
    <w:rsid w:val="00734F8B"/>
    <w:rsid w:val="0074626D"/>
    <w:rsid w:val="00747D95"/>
    <w:rsid w:val="00767BEC"/>
    <w:rsid w:val="00783804"/>
    <w:rsid w:val="007A2F2E"/>
    <w:rsid w:val="007A5308"/>
    <w:rsid w:val="007A65C6"/>
    <w:rsid w:val="007C1595"/>
    <w:rsid w:val="007C16D1"/>
    <w:rsid w:val="007C3235"/>
    <w:rsid w:val="007D70D0"/>
    <w:rsid w:val="007E4D7A"/>
    <w:rsid w:val="007F1431"/>
    <w:rsid w:val="00810FEB"/>
    <w:rsid w:val="008A7CB8"/>
    <w:rsid w:val="008E4469"/>
    <w:rsid w:val="008F157A"/>
    <w:rsid w:val="00906AC4"/>
    <w:rsid w:val="00941586"/>
    <w:rsid w:val="00965A22"/>
    <w:rsid w:val="009977F7"/>
    <w:rsid w:val="009E17E5"/>
    <w:rsid w:val="009E1800"/>
    <w:rsid w:val="009E2B8D"/>
    <w:rsid w:val="009E4F88"/>
    <w:rsid w:val="009E5BF3"/>
    <w:rsid w:val="00A02FEC"/>
    <w:rsid w:val="00A154E1"/>
    <w:rsid w:val="00A556EA"/>
    <w:rsid w:val="00A62445"/>
    <w:rsid w:val="00A75328"/>
    <w:rsid w:val="00A84E4B"/>
    <w:rsid w:val="00AC3232"/>
    <w:rsid w:val="00AD382F"/>
    <w:rsid w:val="00AD54CE"/>
    <w:rsid w:val="00B1061C"/>
    <w:rsid w:val="00B4288D"/>
    <w:rsid w:val="00B61E69"/>
    <w:rsid w:val="00B64194"/>
    <w:rsid w:val="00B96F09"/>
    <w:rsid w:val="00BA6213"/>
    <w:rsid w:val="00BC6D0E"/>
    <w:rsid w:val="00BD1994"/>
    <w:rsid w:val="00BD3C22"/>
    <w:rsid w:val="00BE290F"/>
    <w:rsid w:val="00C15676"/>
    <w:rsid w:val="00C9680D"/>
    <w:rsid w:val="00CB1E4D"/>
    <w:rsid w:val="00CB4A21"/>
    <w:rsid w:val="00CE222D"/>
    <w:rsid w:val="00D35120"/>
    <w:rsid w:val="00D362D9"/>
    <w:rsid w:val="00D379E9"/>
    <w:rsid w:val="00D37A7C"/>
    <w:rsid w:val="00D42077"/>
    <w:rsid w:val="00D664A3"/>
    <w:rsid w:val="00D86B03"/>
    <w:rsid w:val="00DF2006"/>
    <w:rsid w:val="00E0782A"/>
    <w:rsid w:val="00E24014"/>
    <w:rsid w:val="00E267D2"/>
    <w:rsid w:val="00E33EAE"/>
    <w:rsid w:val="00E35E03"/>
    <w:rsid w:val="00E46A39"/>
    <w:rsid w:val="00E63A99"/>
    <w:rsid w:val="00E92C1B"/>
    <w:rsid w:val="00E9691D"/>
    <w:rsid w:val="00EB2843"/>
    <w:rsid w:val="00EB5A6F"/>
    <w:rsid w:val="00EC0A2C"/>
    <w:rsid w:val="00EC2034"/>
    <w:rsid w:val="00EE05D7"/>
    <w:rsid w:val="00F01CAF"/>
    <w:rsid w:val="00F2269F"/>
    <w:rsid w:val="00F249EE"/>
    <w:rsid w:val="00F80606"/>
    <w:rsid w:val="00FA5C3E"/>
    <w:rsid w:val="00FA74F0"/>
    <w:rsid w:val="00FD3062"/>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F7031"/>
  <w15:chartTrackingRefBased/>
  <w15:docId w15:val="{D5880CA0-2315-44F7-B47E-B96F8501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56"/>
  </w:style>
  <w:style w:type="paragraph" w:styleId="Heading1">
    <w:name w:val="heading 1"/>
    <w:basedOn w:val="Normal"/>
    <w:next w:val="Normal"/>
    <w:link w:val="Heading1Char"/>
    <w:uiPriority w:val="9"/>
    <w:qFormat/>
    <w:rsid w:val="00175456"/>
    <w:pPr>
      <w:pBdr>
        <w:top w:val="single" w:sz="24" w:space="0" w:color="30ACEC" w:themeColor="accent1"/>
        <w:left w:val="single" w:sz="24" w:space="0" w:color="30ACEC" w:themeColor="accent1"/>
        <w:bottom w:val="single" w:sz="24" w:space="0" w:color="30ACEC" w:themeColor="accent1"/>
        <w:right w:val="single" w:sz="24" w:space="0" w:color="30ACEC" w:themeColor="accent1"/>
      </w:pBdr>
      <w:shd w:val="clear" w:color="auto" w:fill="30ACE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75456"/>
    <w:pPr>
      <w:pBdr>
        <w:top w:val="single" w:sz="24" w:space="0" w:color="D5EEFB" w:themeColor="accent1" w:themeTint="33"/>
        <w:left w:val="single" w:sz="24" w:space="0" w:color="D5EEFB" w:themeColor="accent1" w:themeTint="33"/>
        <w:bottom w:val="single" w:sz="24" w:space="0" w:color="D5EEFB" w:themeColor="accent1" w:themeTint="33"/>
        <w:right w:val="single" w:sz="24" w:space="0" w:color="D5EEFB" w:themeColor="accent1" w:themeTint="33"/>
      </w:pBdr>
      <w:shd w:val="clear" w:color="auto" w:fill="D5EE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75456"/>
    <w:pPr>
      <w:pBdr>
        <w:top w:val="single" w:sz="6" w:space="2" w:color="30ACEC" w:themeColor="accent1"/>
      </w:pBdr>
      <w:spacing w:before="300" w:after="0"/>
      <w:outlineLvl w:val="2"/>
    </w:pPr>
    <w:rPr>
      <w:caps/>
      <w:color w:val="0C5981" w:themeColor="accent1" w:themeShade="7F"/>
      <w:spacing w:val="15"/>
    </w:rPr>
  </w:style>
  <w:style w:type="paragraph" w:styleId="Heading4">
    <w:name w:val="heading 4"/>
    <w:basedOn w:val="Normal"/>
    <w:next w:val="Normal"/>
    <w:link w:val="Heading4Char"/>
    <w:uiPriority w:val="9"/>
    <w:semiHidden/>
    <w:unhideWhenUsed/>
    <w:qFormat/>
    <w:rsid w:val="00175456"/>
    <w:pPr>
      <w:pBdr>
        <w:top w:val="dotted" w:sz="6" w:space="2" w:color="30ACEC" w:themeColor="accent1"/>
      </w:pBdr>
      <w:spacing w:before="200" w:after="0"/>
      <w:outlineLvl w:val="3"/>
    </w:pPr>
    <w:rPr>
      <w:caps/>
      <w:color w:val="1286C2" w:themeColor="accent1" w:themeShade="BF"/>
      <w:spacing w:val="10"/>
    </w:rPr>
  </w:style>
  <w:style w:type="paragraph" w:styleId="Heading5">
    <w:name w:val="heading 5"/>
    <w:basedOn w:val="Normal"/>
    <w:next w:val="Normal"/>
    <w:link w:val="Heading5Char"/>
    <w:uiPriority w:val="9"/>
    <w:semiHidden/>
    <w:unhideWhenUsed/>
    <w:qFormat/>
    <w:rsid w:val="00175456"/>
    <w:pPr>
      <w:pBdr>
        <w:bottom w:val="single" w:sz="6" w:space="1" w:color="30ACEC" w:themeColor="accent1"/>
      </w:pBdr>
      <w:spacing w:before="200" w:after="0"/>
      <w:outlineLvl w:val="4"/>
    </w:pPr>
    <w:rPr>
      <w:caps/>
      <w:color w:val="1286C2" w:themeColor="accent1" w:themeShade="BF"/>
      <w:spacing w:val="10"/>
    </w:rPr>
  </w:style>
  <w:style w:type="paragraph" w:styleId="Heading6">
    <w:name w:val="heading 6"/>
    <w:basedOn w:val="Normal"/>
    <w:next w:val="Normal"/>
    <w:link w:val="Heading6Char"/>
    <w:uiPriority w:val="9"/>
    <w:semiHidden/>
    <w:unhideWhenUsed/>
    <w:qFormat/>
    <w:rsid w:val="00175456"/>
    <w:pPr>
      <w:pBdr>
        <w:bottom w:val="dotted" w:sz="6" w:space="1" w:color="30ACEC" w:themeColor="accent1"/>
      </w:pBdr>
      <w:spacing w:before="200" w:after="0"/>
      <w:outlineLvl w:val="5"/>
    </w:pPr>
    <w:rPr>
      <w:caps/>
      <w:color w:val="1286C2" w:themeColor="accent1" w:themeShade="BF"/>
      <w:spacing w:val="10"/>
    </w:rPr>
  </w:style>
  <w:style w:type="paragraph" w:styleId="Heading7">
    <w:name w:val="heading 7"/>
    <w:basedOn w:val="Normal"/>
    <w:next w:val="Normal"/>
    <w:link w:val="Heading7Char"/>
    <w:uiPriority w:val="9"/>
    <w:semiHidden/>
    <w:unhideWhenUsed/>
    <w:qFormat/>
    <w:rsid w:val="00175456"/>
    <w:pPr>
      <w:spacing w:before="200" w:after="0"/>
      <w:outlineLvl w:val="6"/>
    </w:pPr>
    <w:rPr>
      <w:caps/>
      <w:color w:val="1286C2" w:themeColor="accent1" w:themeShade="BF"/>
      <w:spacing w:val="10"/>
    </w:rPr>
  </w:style>
  <w:style w:type="paragraph" w:styleId="Heading8">
    <w:name w:val="heading 8"/>
    <w:basedOn w:val="Normal"/>
    <w:next w:val="Normal"/>
    <w:link w:val="Heading8Char"/>
    <w:uiPriority w:val="9"/>
    <w:semiHidden/>
    <w:unhideWhenUsed/>
    <w:qFormat/>
    <w:rsid w:val="0017545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545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456"/>
    <w:rPr>
      <w:caps/>
      <w:color w:val="FFFFFF" w:themeColor="background1"/>
      <w:spacing w:val="15"/>
      <w:sz w:val="22"/>
      <w:szCs w:val="22"/>
      <w:shd w:val="clear" w:color="auto" w:fill="30ACEC" w:themeFill="accent1"/>
    </w:rPr>
  </w:style>
  <w:style w:type="character" w:customStyle="1" w:styleId="Heading2Char">
    <w:name w:val="Heading 2 Char"/>
    <w:basedOn w:val="DefaultParagraphFont"/>
    <w:link w:val="Heading2"/>
    <w:uiPriority w:val="9"/>
    <w:semiHidden/>
    <w:rsid w:val="00175456"/>
    <w:rPr>
      <w:caps/>
      <w:spacing w:val="15"/>
      <w:shd w:val="clear" w:color="auto" w:fill="D5EEFB" w:themeFill="accent1" w:themeFillTint="33"/>
    </w:rPr>
  </w:style>
  <w:style w:type="character" w:customStyle="1" w:styleId="Heading3Char">
    <w:name w:val="Heading 3 Char"/>
    <w:basedOn w:val="DefaultParagraphFont"/>
    <w:link w:val="Heading3"/>
    <w:uiPriority w:val="9"/>
    <w:semiHidden/>
    <w:rsid w:val="00175456"/>
    <w:rPr>
      <w:caps/>
      <w:color w:val="0C5981" w:themeColor="accent1" w:themeShade="7F"/>
      <w:spacing w:val="15"/>
    </w:rPr>
  </w:style>
  <w:style w:type="character" w:customStyle="1" w:styleId="Heading4Char">
    <w:name w:val="Heading 4 Char"/>
    <w:basedOn w:val="DefaultParagraphFont"/>
    <w:link w:val="Heading4"/>
    <w:uiPriority w:val="9"/>
    <w:semiHidden/>
    <w:rsid w:val="00175456"/>
    <w:rPr>
      <w:caps/>
      <w:color w:val="1286C2" w:themeColor="accent1" w:themeShade="BF"/>
      <w:spacing w:val="10"/>
    </w:rPr>
  </w:style>
  <w:style w:type="character" w:customStyle="1" w:styleId="Heading5Char">
    <w:name w:val="Heading 5 Char"/>
    <w:basedOn w:val="DefaultParagraphFont"/>
    <w:link w:val="Heading5"/>
    <w:uiPriority w:val="9"/>
    <w:semiHidden/>
    <w:rsid w:val="00175456"/>
    <w:rPr>
      <w:caps/>
      <w:color w:val="1286C2" w:themeColor="accent1" w:themeShade="BF"/>
      <w:spacing w:val="10"/>
    </w:rPr>
  </w:style>
  <w:style w:type="character" w:customStyle="1" w:styleId="Heading6Char">
    <w:name w:val="Heading 6 Char"/>
    <w:basedOn w:val="DefaultParagraphFont"/>
    <w:link w:val="Heading6"/>
    <w:uiPriority w:val="9"/>
    <w:semiHidden/>
    <w:rsid w:val="00175456"/>
    <w:rPr>
      <w:caps/>
      <w:color w:val="1286C2" w:themeColor="accent1" w:themeShade="BF"/>
      <w:spacing w:val="10"/>
    </w:rPr>
  </w:style>
  <w:style w:type="character" w:customStyle="1" w:styleId="Heading7Char">
    <w:name w:val="Heading 7 Char"/>
    <w:basedOn w:val="DefaultParagraphFont"/>
    <w:link w:val="Heading7"/>
    <w:uiPriority w:val="9"/>
    <w:semiHidden/>
    <w:rsid w:val="00175456"/>
    <w:rPr>
      <w:caps/>
      <w:color w:val="1286C2" w:themeColor="accent1" w:themeShade="BF"/>
      <w:spacing w:val="10"/>
    </w:rPr>
  </w:style>
  <w:style w:type="character" w:customStyle="1" w:styleId="Heading8Char">
    <w:name w:val="Heading 8 Char"/>
    <w:basedOn w:val="DefaultParagraphFont"/>
    <w:link w:val="Heading8"/>
    <w:uiPriority w:val="9"/>
    <w:semiHidden/>
    <w:rsid w:val="00175456"/>
    <w:rPr>
      <w:caps/>
      <w:spacing w:val="10"/>
      <w:sz w:val="18"/>
      <w:szCs w:val="18"/>
    </w:rPr>
  </w:style>
  <w:style w:type="character" w:customStyle="1" w:styleId="Heading9Char">
    <w:name w:val="Heading 9 Char"/>
    <w:basedOn w:val="DefaultParagraphFont"/>
    <w:link w:val="Heading9"/>
    <w:uiPriority w:val="9"/>
    <w:semiHidden/>
    <w:rsid w:val="00175456"/>
    <w:rPr>
      <w:i/>
      <w:iCs/>
      <w:caps/>
      <w:spacing w:val="10"/>
      <w:sz w:val="18"/>
      <w:szCs w:val="18"/>
    </w:rPr>
  </w:style>
  <w:style w:type="paragraph" w:styleId="Caption">
    <w:name w:val="caption"/>
    <w:basedOn w:val="Normal"/>
    <w:next w:val="Normal"/>
    <w:uiPriority w:val="35"/>
    <w:semiHidden/>
    <w:unhideWhenUsed/>
    <w:qFormat/>
    <w:rsid w:val="00175456"/>
    <w:rPr>
      <w:b/>
      <w:bCs/>
      <w:color w:val="1286C2" w:themeColor="accent1" w:themeShade="BF"/>
      <w:sz w:val="16"/>
      <w:szCs w:val="16"/>
    </w:rPr>
  </w:style>
  <w:style w:type="paragraph" w:styleId="Title">
    <w:name w:val="Title"/>
    <w:basedOn w:val="Normal"/>
    <w:next w:val="Normal"/>
    <w:link w:val="TitleChar"/>
    <w:uiPriority w:val="10"/>
    <w:qFormat/>
    <w:rsid w:val="00175456"/>
    <w:pPr>
      <w:spacing w:before="0" w:after="0"/>
    </w:pPr>
    <w:rPr>
      <w:rFonts w:asciiTheme="majorHAnsi" w:eastAsiaTheme="majorEastAsia" w:hAnsiTheme="majorHAnsi" w:cstheme="majorBidi"/>
      <w:caps/>
      <w:color w:val="30ACEC" w:themeColor="accent1"/>
      <w:spacing w:val="10"/>
      <w:sz w:val="52"/>
      <w:szCs w:val="52"/>
    </w:rPr>
  </w:style>
  <w:style w:type="character" w:customStyle="1" w:styleId="TitleChar">
    <w:name w:val="Title Char"/>
    <w:basedOn w:val="DefaultParagraphFont"/>
    <w:link w:val="Title"/>
    <w:uiPriority w:val="10"/>
    <w:rsid w:val="00175456"/>
    <w:rPr>
      <w:rFonts w:asciiTheme="majorHAnsi" w:eastAsiaTheme="majorEastAsia" w:hAnsiTheme="majorHAnsi" w:cstheme="majorBidi"/>
      <w:caps/>
      <w:color w:val="30ACEC" w:themeColor="accent1"/>
      <w:spacing w:val="10"/>
      <w:sz w:val="52"/>
      <w:szCs w:val="52"/>
    </w:rPr>
  </w:style>
  <w:style w:type="paragraph" w:styleId="Subtitle">
    <w:name w:val="Subtitle"/>
    <w:basedOn w:val="Normal"/>
    <w:next w:val="Normal"/>
    <w:link w:val="SubtitleChar"/>
    <w:uiPriority w:val="11"/>
    <w:qFormat/>
    <w:rsid w:val="0017545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5456"/>
    <w:rPr>
      <w:caps/>
      <w:color w:val="595959" w:themeColor="text1" w:themeTint="A6"/>
      <w:spacing w:val="10"/>
      <w:sz w:val="21"/>
      <w:szCs w:val="21"/>
    </w:rPr>
  </w:style>
  <w:style w:type="character" w:styleId="Strong">
    <w:name w:val="Strong"/>
    <w:uiPriority w:val="22"/>
    <w:qFormat/>
    <w:rsid w:val="00175456"/>
    <w:rPr>
      <w:b/>
      <w:bCs/>
    </w:rPr>
  </w:style>
  <w:style w:type="character" w:styleId="Emphasis">
    <w:name w:val="Emphasis"/>
    <w:uiPriority w:val="20"/>
    <w:qFormat/>
    <w:rsid w:val="00175456"/>
    <w:rPr>
      <w:caps/>
      <w:color w:val="0C5981" w:themeColor="accent1" w:themeShade="7F"/>
      <w:spacing w:val="5"/>
    </w:rPr>
  </w:style>
  <w:style w:type="paragraph" w:styleId="NoSpacing">
    <w:name w:val="No Spacing"/>
    <w:link w:val="NoSpacingChar"/>
    <w:uiPriority w:val="1"/>
    <w:qFormat/>
    <w:rsid w:val="00175456"/>
    <w:pPr>
      <w:spacing w:after="0" w:line="240" w:lineRule="auto"/>
    </w:pPr>
  </w:style>
  <w:style w:type="paragraph" w:styleId="Quote">
    <w:name w:val="Quote"/>
    <w:basedOn w:val="Normal"/>
    <w:next w:val="Normal"/>
    <w:link w:val="QuoteChar"/>
    <w:uiPriority w:val="29"/>
    <w:qFormat/>
    <w:rsid w:val="00175456"/>
    <w:rPr>
      <w:i/>
      <w:iCs/>
      <w:sz w:val="24"/>
      <w:szCs w:val="24"/>
    </w:rPr>
  </w:style>
  <w:style w:type="character" w:customStyle="1" w:styleId="QuoteChar">
    <w:name w:val="Quote Char"/>
    <w:basedOn w:val="DefaultParagraphFont"/>
    <w:link w:val="Quote"/>
    <w:uiPriority w:val="29"/>
    <w:rsid w:val="00175456"/>
    <w:rPr>
      <w:i/>
      <w:iCs/>
      <w:sz w:val="24"/>
      <w:szCs w:val="24"/>
    </w:rPr>
  </w:style>
  <w:style w:type="paragraph" w:styleId="IntenseQuote">
    <w:name w:val="Intense Quote"/>
    <w:basedOn w:val="Normal"/>
    <w:next w:val="Normal"/>
    <w:link w:val="IntenseQuoteChar"/>
    <w:uiPriority w:val="30"/>
    <w:qFormat/>
    <w:rsid w:val="00175456"/>
    <w:pPr>
      <w:spacing w:before="240" w:after="240" w:line="240" w:lineRule="auto"/>
      <w:ind w:left="1080" w:right="1080"/>
      <w:jc w:val="center"/>
    </w:pPr>
    <w:rPr>
      <w:color w:val="30ACEC" w:themeColor="accent1"/>
      <w:sz w:val="24"/>
      <w:szCs w:val="24"/>
    </w:rPr>
  </w:style>
  <w:style w:type="character" w:customStyle="1" w:styleId="IntenseQuoteChar">
    <w:name w:val="Intense Quote Char"/>
    <w:basedOn w:val="DefaultParagraphFont"/>
    <w:link w:val="IntenseQuote"/>
    <w:uiPriority w:val="30"/>
    <w:rsid w:val="00175456"/>
    <w:rPr>
      <w:color w:val="30ACEC" w:themeColor="accent1"/>
      <w:sz w:val="24"/>
      <w:szCs w:val="24"/>
    </w:rPr>
  </w:style>
  <w:style w:type="character" w:styleId="SubtleEmphasis">
    <w:name w:val="Subtle Emphasis"/>
    <w:uiPriority w:val="19"/>
    <w:qFormat/>
    <w:rsid w:val="00175456"/>
    <w:rPr>
      <w:i/>
      <w:iCs/>
      <w:color w:val="0C5981" w:themeColor="accent1" w:themeShade="7F"/>
    </w:rPr>
  </w:style>
  <w:style w:type="character" w:styleId="IntenseEmphasis">
    <w:name w:val="Intense Emphasis"/>
    <w:uiPriority w:val="21"/>
    <w:qFormat/>
    <w:rsid w:val="00175456"/>
    <w:rPr>
      <w:b/>
      <w:bCs/>
      <w:caps/>
      <w:color w:val="0C5981" w:themeColor="accent1" w:themeShade="7F"/>
      <w:spacing w:val="10"/>
    </w:rPr>
  </w:style>
  <w:style w:type="character" w:styleId="SubtleReference">
    <w:name w:val="Subtle Reference"/>
    <w:uiPriority w:val="31"/>
    <w:qFormat/>
    <w:rsid w:val="00175456"/>
    <w:rPr>
      <w:b/>
      <w:bCs/>
      <w:color w:val="30ACEC" w:themeColor="accent1"/>
    </w:rPr>
  </w:style>
  <w:style w:type="character" w:styleId="IntenseReference">
    <w:name w:val="Intense Reference"/>
    <w:uiPriority w:val="32"/>
    <w:qFormat/>
    <w:rsid w:val="00175456"/>
    <w:rPr>
      <w:b/>
      <w:bCs/>
      <w:i/>
      <w:iCs/>
      <w:caps/>
      <w:color w:val="30ACEC" w:themeColor="accent1"/>
    </w:rPr>
  </w:style>
  <w:style w:type="character" w:styleId="BookTitle">
    <w:name w:val="Book Title"/>
    <w:uiPriority w:val="33"/>
    <w:qFormat/>
    <w:rsid w:val="00175456"/>
    <w:rPr>
      <w:b/>
      <w:bCs/>
      <w:i/>
      <w:iCs/>
      <w:spacing w:val="0"/>
    </w:rPr>
  </w:style>
  <w:style w:type="paragraph" w:styleId="TOCHeading">
    <w:name w:val="TOC Heading"/>
    <w:basedOn w:val="Heading1"/>
    <w:next w:val="Normal"/>
    <w:uiPriority w:val="39"/>
    <w:unhideWhenUsed/>
    <w:qFormat/>
    <w:rsid w:val="00175456"/>
    <w:pPr>
      <w:outlineLvl w:val="9"/>
    </w:pPr>
  </w:style>
  <w:style w:type="character" w:customStyle="1" w:styleId="NoSpacingChar">
    <w:name w:val="No Spacing Char"/>
    <w:basedOn w:val="DefaultParagraphFont"/>
    <w:link w:val="NoSpacing"/>
    <w:uiPriority w:val="1"/>
    <w:rsid w:val="00175456"/>
  </w:style>
  <w:style w:type="paragraph" w:styleId="ListParagraph">
    <w:name w:val="List Paragraph"/>
    <w:basedOn w:val="Normal"/>
    <w:uiPriority w:val="34"/>
    <w:qFormat/>
    <w:rsid w:val="00175456"/>
    <w:pPr>
      <w:spacing w:before="0"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5D4AE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E5"/>
    <w:rPr>
      <w:rFonts w:ascii="Segoe UI" w:hAnsi="Segoe UI" w:cs="Segoe UI"/>
      <w:sz w:val="18"/>
      <w:szCs w:val="18"/>
    </w:rPr>
  </w:style>
  <w:style w:type="paragraph" w:styleId="Header">
    <w:name w:val="header"/>
    <w:basedOn w:val="Normal"/>
    <w:link w:val="HeaderChar"/>
    <w:uiPriority w:val="99"/>
    <w:unhideWhenUsed/>
    <w:rsid w:val="00A02F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2FEC"/>
  </w:style>
  <w:style w:type="paragraph" w:styleId="Footer">
    <w:name w:val="footer"/>
    <w:basedOn w:val="Normal"/>
    <w:link w:val="FooterChar"/>
    <w:uiPriority w:val="99"/>
    <w:unhideWhenUsed/>
    <w:qFormat/>
    <w:rsid w:val="00A02F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2FEC"/>
  </w:style>
  <w:style w:type="table" w:styleId="TableGrid">
    <w:name w:val="Table Grid"/>
    <w:basedOn w:val="TableNormal"/>
    <w:uiPriority w:val="39"/>
    <w:rsid w:val="00E46A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C0A2C"/>
    <w:pPr>
      <w:spacing w:after="0" w:line="240" w:lineRule="auto"/>
    </w:pPr>
    <w:tblPr>
      <w:tblStyleRowBandSize w:val="1"/>
      <w:tblStyleColBandSize w:val="1"/>
      <w:tblBorders>
        <w:top w:val="single" w:sz="4" w:space="0" w:color="82CDF3" w:themeColor="accent1" w:themeTint="99"/>
        <w:left w:val="single" w:sz="4" w:space="0" w:color="82CDF3" w:themeColor="accent1" w:themeTint="99"/>
        <w:bottom w:val="single" w:sz="4" w:space="0" w:color="82CDF3" w:themeColor="accent1" w:themeTint="99"/>
        <w:right w:val="single" w:sz="4" w:space="0" w:color="82CDF3" w:themeColor="accent1" w:themeTint="99"/>
        <w:insideH w:val="single" w:sz="4" w:space="0" w:color="82CDF3" w:themeColor="accent1" w:themeTint="99"/>
        <w:insideV w:val="single" w:sz="4" w:space="0" w:color="82CDF3" w:themeColor="accent1" w:themeTint="99"/>
      </w:tblBorders>
    </w:tblPr>
    <w:tblStylePr w:type="firstRow">
      <w:rPr>
        <w:b/>
        <w:bCs/>
        <w:color w:val="FFFFFF" w:themeColor="background1"/>
      </w:rPr>
      <w:tblPr/>
      <w:tcPr>
        <w:tcBorders>
          <w:top w:val="single" w:sz="4" w:space="0" w:color="30ACEC" w:themeColor="accent1"/>
          <w:left w:val="single" w:sz="4" w:space="0" w:color="30ACEC" w:themeColor="accent1"/>
          <w:bottom w:val="single" w:sz="4" w:space="0" w:color="30ACEC" w:themeColor="accent1"/>
          <w:right w:val="single" w:sz="4" w:space="0" w:color="30ACEC" w:themeColor="accent1"/>
          <w:insideH w:val="nil"/>
          <w:insideV w:val="nil"/>
        </w:tcBorders>
        <w:shd w:val="clear" w:color="auto" w:fill="30ACEC" w:themeFill="accent1"/>
      </w:tcPr>
    </w:tblStylePr>
    <w:tblStylePr w:type="lastRow">
      <w:rPr>
        <w:b/>
        <w:bCs/>
      </w:rPr>
      <w:tblPr/>
      <w:tcPr>
        <w:tcBorders>
          <w:top w:val="double" w:sz="4" w:space="0" w:color="30ACEC" w:themeColor="accent1"/>
        </w:tcBorders>
      </w:tcPr>
    </w:tblStylePr>
    <w:tblStylePr w:type="firstCol">
      <w:rPr>
        <w:b/>
        <w:bCs/>
      </w:rPr>
    </w:tblStylePr>
    <w:tblStylePr w:type="lastCol">
      <w:rPr>
        <w:b/>
        <w:bCs/>
      </w:rPr>
    </w:tblStylePr>
    <w:tblStylePr w:type="band1Vert">
      <w:tblPr/>
      <w:tcPr>
        <w:shd w:val="clear" w:color="auto" w:fill="D5EEFB" w:themeFill="accent1" w:themeFillTint="33"/>
      </w:tcPr>
    </w:tblStylePr>
    <w:tblStylePr w:type="band1Horz">
      <w:tblPr/>
      <w:tcPr>
        <w:shd w:val="clear" w:color="auto" w:fill="D5EEFB" w:themeFill="accent1" w:themeFillTint="33"/>
      </w:tcPr>
    </w:tblStylePr>
  </w:style>
  <w:style w:type="paragraph" w:styleId="TOC1">
    <w:name w:val="toc 1"/>
    <w:basedOn w:val="Normal"/>
    <w:next w:val="Normal"/>
    <w:autoRedefine/>
    <w:uiPriority w:val="39"/>
    <w:unhideWhenUsed/>
    <w:rsid w:val="007D70D0"/>
    <w:pPr>
      <w:spacing w:after="100"/>
    </w:pPr>
  </w:style>
  <w:style w:type="character" w:styleId="Hyperlink">
    <w:name w:val="Hyperlink"/>
    <w:basedOn w:val="DefaultParagraphFont"/>
    <w:uiPriority w:val="99"/>
    <w:unhideWhenUsed/>
    <w:rsid w:val="007D70D0"/>
    <w:rPr>
      <w:color w:val="3085E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Benefits</Abstract>
  <CompanyAddress/>
  <CompanyPhone/>
  <CompanyFax/>
  <CompanyEmail>www.ipa-llc.org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7789AE-3627-4F5C-9EFC-17E59E27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12246</TotalTime>
  <Pages>16</Pages>
  <Words>4472</Words>
  <Characters>24601</Characters>
  <Application>Microsoft Office Word</Application>
  <DocSecurity>0</DocSecurity>
  <Lines>848</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Catalog</dc:title>
  <dc:subject>2021-2022</dc:subject>
  <dc:creator>IMPACT Paradigm Associates</dc:creator>
  <cp:keywords/>
  <dc:description/>
  <cp:lastModifiedBy>Ted Kniker</cp:lastModifiedBy>
  <cp:revision>152</cp:revision>
  <cp:lastPrinted>2021-08-10T17:39:00Z</cp:lastPrinted>
  <dcterms:created xsi:type="dcterms:W3CDTF">2020-05-21T20:43:00Z</dcterms:created>
  <dcterms:modified xsi:type="dcterms:W3CDTF">2021-08-10T17:40:00Z</dcterms:modified>
</cp:coreProperties>
</file>